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60B74" w14:textId="1C324907" w:rsidR="00586969" w:rsidRPr="004B4CB5" w:rsidRDefault="004B4CB5" w:rsidP="00586969">
      <w:pPr>
        <w:jc w:val="center"/>
        <w:rPr>
          <w:b/>
          <w:bCs/>
          <w:lang w:val="en-US"/>
        </w:rPr>
      </w:pPr>
      <w:r w:rsidRPr="004B4CB5">
        <w:rPr>
          <w:b/>
          <w:bCs/>
          <w:lang w:val="en-US"/>
        </w:rPr>
        <w:t xml:space="preserve">Annex </w:t>
      </w:r>
      <w:r w:rsidR="00B9349E">
        <w:rPr>
          <w:b/>
          <w:bCs/>
          <w:lang w:val="en-US"/>
        </w:rPr>
        <w:t>1</w:t>
      </w:r>
      <w:r w:rsidR="00C73BB0">
        <w:rPr>
          <w:b/>
          <w:bCs/>
          <w:lang w:val="en-US"/>
        </w:rPr>
        <w:t>5</w:t>
      </w:r>
      <w:r w:rsidRPr="004B4CB5">
        <w:rPr>
          <w:b/>
          <w:bCs/>
          <w:lang w:val="en-US"/>
        </w:rPr>
        <w:t xml:space="preserve">. </w:t>
      </w:r>
      <w:r w:rsidR="00853E4A">
        <w:rPr>
          <w:b/>
          <w:bCs/>
          <w:lang w:val="en-US"/>
        </w:rPr>
        <w:t xml:space="preserve">Item </w:t>
      </w:r>
      <w:r w:rsidR="000920B2">
        <w:rPr>
          <w:b/>
          <w:bCs/>
          <w:lang w:val="en-US"/>
        </w:rPr>
        <w:t>6.4</w:t>
      </w:r>
      <w:r w:rsidR="00853E4A">
        <w:rPr>
          <w:b/>
          <w:bCs/>
          <w:lang w:val="en-US"/>
        </w:rPr>
        <w:t>.</w:t>
      </w:r>
      <w:r w:rsidRPr="004B4CB5">
        <w:rPr>
          <w:b/>
          <w:bCs/>
          <w:lang w:val="en-US"/>
        </w:rPr>
        <w:t xml:space="preserve"> - </w:t>
      </w:r>
      <w:r w:rsidR="00586969" w:rsidRPr="004B4CB5">
        <w:rPr>
          <w:b/>
          <w:bCs/>
          <w:lang w:val="en-US"/>
        </w:rPr>
        <w:t>Model Article X.X.7. for disease- specific chapters</w:t>
      </w:r>
    </w:p>
    <w:p w14:paraId="0D6B08CF" w14:textId="77777777" w:rsidR="00E70336" w:rsidRDefault="00E70336" w:rsidP="00586969">
      <w:pPr>
        <w:jc w:val="center"/>
        <w:rPr>
          <w:lang w:val="en-US"/>
        </w:rPr>
      </w:pPr>
    </w:p>
    <w:p w14:paraId="20997893" w14:textId="164DB494" w:rsidR="00E70336" w:rsidRPr="00D30BC7" w:rsidRDefault="00586969" w:rsidP="00E70336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>CHAPTER X.X.</w:t>
      </w:r>
    </w:p>
    <w:p w14:paraId="701283E6" w14:textId="68F52BAD" w:rsidR="00586969" w:rsidRPr="00D30BC7" w:rsidRDefault="00586969" w:rsidP="00586969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>INFECTION WITH [PATHOGEN X]</w:t>
      </w:r>
    </w:p>
    <w:p w14:paraId="4ABC47E6" w14:textId="7419D624" w:rsidR="00586969" w:rsidRPr="00D30BC7" w:rsidRDefault="00586969" w:rsidP="00586969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>[…]</w:t>
      </w:r>
    </w:p>
    <w:p w14:paraId="2785CC64" w14:textId="73E16DB1" w:rsidR="00586969" w:rsidRPr="00D30BC7" w:rsidRDefault="00586969" w:rsidP="00586969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D30BC7">
        <w:rPr>
          <w:rFonts w:ascii="Arial" w:hAnsi="Arial" w:cs="Arial"/>
          <w:b/>
          <w:bCs/>
          <w:sz w:val="20"/>
          <w:szCs w:val="20"/>
          <w:lang w:val="en-US"/>
        </w:rPr>
        <w:t>Article X.X.7.</w:t>
      </w:r>
    </w:p>
    <w:p w14:paraId="68AA2919" w14:textId="0EF78AE8" w:rsidR="00586969" w:rsidRPr="00D30BC7" w:rsidRDefault="00586969" w:rsidP="00586969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D30BC7">
        <w:rPr>
          <w:rFonts w:ascii="Arial" w:hAnsi="Arial" w:cs="Arial"/>
          <w:b/>
          <w:bCs/>
          <w:sz w:val="20"/>
          <w:szCs w:val="20"/>
          <w:lang w:val="en-US"/>
        </w:rPr>
        <w:t>Compartment free from infection with [Pathogen X]</w:t>
      </w:r>
    </w:p>
    <w:p w14:paraId="62F79299" w14:textId="40FF629D" w:rsidR="00586969" w:rsidRPr="00D30BC7" w:rsidRDefault="00586969" w:rsidP="0058696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 xml:space="preserve">As described in Article 1.4.4., a Member Country may make a self-declaration of freedom from infection with [Pathogen X] for a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 xml:space="preserve">compartment 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within its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territory</w:t>
      </w:r>
      <w:r w:rsidRPr="00D30BC7">
        <w:rPr>
          <w:rFonts w:ascii="Arial" w:hAnsi="Arial" w:cs="Arial"/>
          <w:sz w:val="20"/>
          <w:szCs w:val="20"/>
          <w:lang w:val="en-US"/>
        </w:rPr>
        <w:t> if it can demonstrate that</w:t>
      </w:r>
      <w:r w:rsidR="004B4CB5"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 the requirements for Chapter 4.3. have been met</w:t>
      </w:r>
      <w:r w:rsidR="005659B2" w:rsidRPr="00D30BC7">
        <w:rPr>
          <w:rFonts w:ascii="Arial" w:hAnsi="Arial" w:cs="Arial"/>
          <w:sz w:val="20"/>
          <w:szCs w:val="20"/>
          <w:u w:val="double"/>
          <w:lang w:val="en-US"/>
        </w:rPr>
        <w:t>, and</w:t>
      </w:r>
      <w:r w:rsidRPr="00D30BC7">
        <w:rPr>
          <w:rFonts w:ascii="Arial" w:hAnsi="Arial" w:cs="Arial"/>
          <w:sz w:val="20"/>
          <w:szCs w:val="20"/>
          <w:lang w:val="en-US"/>
        </w:rPr>
        <w:t>:</w:t>
      </w:r>
    </w:p>
    <w:p w14:paraId="4EBFF4B6" w14:textId="7F9A0A46" w:rsidR="00586969" w:rsidRPr="00D30BC7" w:rsidRDefault="00586969" w:rsidP="00586969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i/>
          <w:iCs/>
          <w:sz w:val="20"/>
          <w:szCs w:val="20"/>
        </w:rPr>
        <w:t>targeted surveillance</w:t>
      </w:r>
      <w:r w:rsidRPr="00D30BC7">
        <w:rPr>
          <w:rFonts w:ascii="Arial" w:hAnsi="Arial" w:cs="Arial"/>
          <w:sz w:val="20"/>
          <w:szCs w:val="20"/>
          <w:lang w:val="en-US"/>
        </w:rPr>
        <w:t>, as described in Chapter </w:t>
      </w:r>
      <w:r w:rsidRPr="00D30BC7">
        <w:rPr>
          <w:rFonts w:ascii="Arial" w:hAnsi="Arial" w:cs="Arial"/>
          <w:sz w:val="20"/>
          <w:szCs w:val="20"/>
        </w:rPr>
        <w:t>1.4.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, has been in place in the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 for at least the last one year without detection of [Pathogen X], and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basic biosecurity conditions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 have been continuously met and have been in place for at least one year prior to commencement of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 xml:space="preserve">targeted </w:t>
      </w:r>
      <w:proofErr w:type="gramStart"/>
      <w:r w:rsidRPr="00D30BC7">
        <w:rPr>
          <w:rFonts w:ascii="Arial" w:hAnsi="Arial" w:cs="Arial"/>
          <w:i/>
          <w:iCs/>
          <w:sz w:val="20"/>
          <w:szCs w:val="20"/>
          <w:lang w:val="en-US"/>
        </w:rPr>
        <w:t>surveillance</w:t>
      </w:r>
      <w:r w:rsidRPr="00D30BC7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351BD0FF" w14:textId="77777777" w:rsidR="00586969" w:rsidRPr="00D30BC7" w:rsidRDefault="00586969" w:rsidP="00586969">
      <w:p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>OR</w:t>
      </w:r>
    </w:p>
    <w:p w14:paraId="072D892D" w14:textId="75026F0A" w:rsidR="00586969" w:rsidRPr="00D30BC7" w:rsidRDefault="00586969" w:rsidP="00586969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 xml:space="preserve">it previously made a self-declaration of freedom for a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 from infection with [pathogen X] and subsequently lost its free status due to the detection of [Pathogen X] in the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lang w:val="en-US"/>
        </w:rPr>
        <w:t> but the following conditions have been met:</w:t>
      </w:r>
    </w:p>
    <w:p w14:paraId="78F44236" w14:textId="4C75D3B5" w:rsidR="00586969" w:rsidRPr="00D30BC7" w:rsidRDefault="00586969" w:rsidP="0058696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 xml:space="preserve">all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aquatic animals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 within the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 have been killed and disposed of by means that </w:t>
      </w:r>
      <w:proofErr w:type="spellStart"/>
      <w:r w:rsidRPr="00D30BC7">
        <w:rPr>
          <w:rFonts w:ascii="Arial" w:hAnsi="Arial" w:cs="Arial"/>
          <w:sz w:val="20"/>
          <w:szCs w:val="20"/>
          <w:lang w:val="en-US"/>
        </w:rPr>
        <w:t>minimise</w:t>
      </w:r>
      <w:proofErr w:type="spellEnd"/>
      <w:r w:rsidRPr="00D30BC7">
        <w:rPr>
          <w:rFonts w:ascii="Arial" w:hAnsi="Arial" w:cs="Arial"/>
          <w:sz w:val="20"/>
          <w:szCs w:val="20"/>
          <w:lang w:val="en-US"/>
        </w:rPr>
        <w:t xml:space="preserve"> the likelihood of further transmission of [Pathogen X], the appropriate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disinfection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 procedures (as described in Chapter 4.4.) have been completed, and the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lang w:val="en-US"/>
        </w:rPr>
        <w:t> has been fallowed as described in Chapter 4.7.; and</w:t>
      </w:r>
    </w:p>
    <w:p w14:paraId="4D9CFAAB" w14:textId="06C8639D" w:rsidR="00586969" w:rsidRPr="00D30BC7" w:rsidRDefault="00586969" w:rsidP="0058696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lang w:val="en-US"/>
        </w:rPr>
        <w:t xml:space="preserve">previously existing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basic biosecurity conditions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, including the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biosecurity plan</w:t>
      </w:r>
      <w:r w:rsidRPr="00D30BC7">
        <w:rPr>
          <w:rFonts w:ascii="Arial" w:hAnsi="Arial" w:cs="Arial"/>
          <w:sz w:val="20"/>
          <w:szCs w:val="20"/>
          <w:lang w:val="en-US"/>
        </w:rPr>
        <w:t xml:space="preserve">, have been reviewed and modified as necessary and have continuously been in place from the time of restocking with </w:t>
      </w:r>
      <w:r w:rsidRPr="00D30BC7">
        <w:rPr>
          <w:rFonts w:ascii="Arial" w:hAnsi="Arial" w:cs="Arial"/>
          <w:i/>
          <w:iCs/>
          <w:sz w:val="20"/>
          <w:szCs w:val="20"/>
          <w:lang w:val="en-US"/>
        </w:rPr>
        <w:t>aquatic animals</w:t>
      </w:r>
      <w:r w:rsidRPr="00D30BC7">
        <w:rPr>
          <w:rFonts w:ascii="Arial" w:hAnsi="Arial" w:cs="Arial"/>
          <w:sz w:val="20"/>
          <w:szCs w:val="20"/>
          <w:lang w:val="en-US"/>
        </w:rPr>
        <w:t> from an approved pathogen free source in accordance with the requirements of Articles X.X.9. and X.X.10. as appropriate; and</w:t>
      </w:r>
    </w:p>
    <w:p w14:paraId="1A493F13" w14:textId="6BF915BE" w:rsidR="00586969" w:rsidRPr="00D30BC7" w:rsidRDefault="00EC33F7" w:rsidP="00586969">
      <w:pPr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in the case of an independent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 xml:space="preserve">compartment </w:t>
      </w:r>
      <w:r w:rsidR="00AE14D2"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as described in Article 4.3.4., </w:t>
      </w:r>
      <w:r w:rsidR="00586969" w:rsidRPr="00D30BC7">
        <w:rPr>
          <w:rFonts w:ascii="Arial" w:hAnsi="Arial" w:cs="Arial"/>
          <w:sz w:val="20"/>
          <w:szCs w:val="20"/>
          <w:lang w:val="en-US"/>
        </w:rPr>
        <w:t xml:space="preserve">one survey for infection with [Pathogen X] has been completed at least six months after restocking (as described in Article 1.4.14.) without detection of the </w:t>
      </w:r>
      <w:r w:rsidR="00586969" w:rsidRPr="00D30BC7">
        <w:rPr>
          <w:rFonts w:ascii="Arial" w:hAnsi="Arial" w:cs="Arial"/>
          <w:i/>
          <w:iCs/>
          <w:sz w:val="20"/>
          <w:szCs w:val="20"/>
          <w:lang w:val="en-US"/>
        </w:rPr>
        <w:t>pathogenic agent</w:t>
      </w:r>
      <w:r w:rsidR="006701DE" w:rsidRPr="00D30BC7">
        <w:rPr>
          <w:rFonts w:ascii="Arial" w:hAnsi="Arial" w:cs="Arial"/>
          <w:sz w:val="20"/>
          <w:szCs w:val="20"/>
          <w:lang w:val="en-US"/>
        </w:rPr>
        <w:t xml:space="preserve">. </w:t>
      </w:r>
      <w:r w:rsidR="006701DE"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In the case of a dependent </w:t>
      </w:r>
      <w:r w:rsidR="006701DE"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 xml:space="preserve">compartment </w:t>
      </w:r>
      <w:r w:rsidR="006701DE"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(also described in Article 4.3.4), the requirements </w:t>
      </w:r>
      <w:r w:rsidR="0034420D" w:rsidRPr="00D30BC7">
        <w:rPr>
          <w:rFonts w:ascii="Arial" w:hAnsi="Arial" w:cs="Arial"/>
          <w:sz w:val="20"/>
          <w:szCs w:val="20"/>
          <w:u w:val="double"/>
          <w:lang w:val="en-US"/>
        </w:rPr>
        <w:t>of p</w:t>
      </w:r>
      <w:r w:rsidR="00F863DB" w:rsidRPr="00D30BC7">
        <w:rPr>
          <w:rFonts w:ascii="Arial" w:hAnsi="Arial" w:cs="Arial"/>
          <w:sz w:val="20"/>
          <w:szCs w:val="20"/>
          <w:u w:val="double"/>
          <w:lang w:val="en-US"/>
        </w:rPr>
        <w:t>oint</w:t>
      </w:r>
      <w:r w:rsidR="0034420D"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 1 have been met without detection of the </w:t>
      </w:r>
      <w:r w:rsidR="0034420D"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pathogenic agent.</w:t>
      </w:r>
    </w:p>
    <w:p w14:paraId="5E1D6359" w14:textId="4D1C9AEB" w:rsidR="00E36A67" w:rsidRPr="00D30BC7" w:rsidRDefault="00E36A67" w:rsidP="00E36A67">
      <w:pPr>
        <w:ind w:left="1080"/>
        <w:jc w:val="both"/>
        <w:rPr>
          <w:rFonts w:ascii="Arial" w:hAnsi="Arial" w:cs="Arial"/>
          <w:sz w:val="20"/>
          <w:szCs w:val="20"/>
          <w:u w:val="double"/>
          <w:lang w:val="en-US"/>
        </w:rPr>
      </w:pPr>
      <w:r w:rsidRPr="00D30BC7">
        <w:rPr>
          <w:rFonts w:ascii="Arial" w:hAnsi="Arial" w:cs="Arial"/>
          <w:sz w:val="20"/>
          <w:szCs w:val="20"/>
          <w:u w:val="double"/>
          <w:lang w:val="en-US"/>
        </w:rPr>
        <w:t>OR</w:t>
      </w:r>
    </w:p>
    <w:p w14:paraId="606658E5" w14:textId="17C14E56" w:rsidR="002B4883" w:rsidRPr="00D30BC7" w:rsidRDefault="001772CA" w:rsidP="001772CA">
      <w:pPr>
        <w:shd w:val="clear" w:color="auto" w:fill="FFFFFF" w:themeFill="background1"/>
        <w:spacing w:after="0" w:line="240" w:lineRule="auto"/>
        <w:ind w:left="720" w:hanging="360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</w:pPr>
      <w:r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3. </w:t>
      </w:r>
      <w:r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ab/>
      </w:r>
      <w:r w:rsidR="002B4883"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it is a dependent </w:t>
      </w:r>
      <w:r w:rsidR="002B4883" w:rsidRPr="00D30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u w:val="double"/>
          <w:lang w:eastAsia="en-AU"/>
        </w:rPr>
        <w:t>compartment</w:t>
      </w:r>
      <w:r w:rsidR="002B4883"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 which previously made a self-declaration of freedom from infection with pathogen [X] and subsequently lost its disease-free status due to the detection of pathogen [X] in the surrounding water body or surrounding disease-free </w:t>
      </w:r>
      <w:r w:rsidR="002B4883" w:rsidRPr="00D30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u w:val="double"/>
          <w:lang w:eastAsia="en-AU"/>
        </w:rPr>
        <w:t>zone</w:t>
      </w:r>
      <w:r w:rsidR="002B4883"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 or </w:t>
      </w:r>
      <w:r w:rsidR="002B4883" w:rsidRPr="00D30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u w:val="double"/>
          <w:lang w:eastAsia="en-AU"/>
        </w:rPr>
        <w:t>country</w:t>
      </w:r>
      <w:r w:rsidR="002B4883"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>, but the following conditions have been met:</w:t>
      </w:r>
    </w:p>
    <w:p w14:paraId="1559B909" w14:textId="13775698" w:rsidR="001772CA" w:rsidRPr="00D30BC7" w:rsidRDefault="001772CA" w:rsidP="001772CA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  <w:u w:val="double"/>
          <w:lang w:val="en-US"/>
        </w:rPr>
      </w:pPr>
      <w:r w:rsidRPr="00D30BC7">
        <w:rPr>
          <w:rFonts w:ascii="Arial" w:hAnsi="Arial" w:cs="Arial"/>
          <w:sz w:val="20"/>
          <w:szCs w:val="20"/>
          <w:u w:val="double"/>
          <w:lang w:val="en-US"/>
        </w:rPr>
        <w:lastRenderedPageBreak/>
        <w:t xml:space="preserve">the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 xml:space="preserve">compartment 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has been depopulated of all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aquatic animals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, the appropriate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disinfection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 procedures (as described in Chapter 4.4.) have been completed, and the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 has been </w:t>
      </w:r>
      <w:proofErr w:type="gramStart"/>
      <w:r w:rsidRPr="00D30BC7">
        <w:rPr>
          <w:rFonts w:ascii="Arial" w:hAnsi="Arial" w:cs="Arial"/>
          <w:sz w:val="20"/>
          <w:szCs w:val="20"/>
          <w:u w:val="double"/>
          <w:lang w:val="en-US"/>
        </w:rPr>
        <w:t>fallowed</w:t>
      </w:r>
      <w:proofErr w:type="gramEnd"/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 as described in Chapter 4.7.; and</w:t>
      </w:r>
    </w:p>
    <w:p w14:paraId="2E1C39E2" w14:textId="77777777" w:rsidR="001772CA" w:rsidRPr="00D30BC7" w:rsidRDefault="001772CA" w:rsidP="001772CA">
      <w:pPr>
        <w:numPr>
          <w:ilvl w:val="1"/>
          <w:numId w:val="4"/>
        </w:numPr>
        <w:jc w:val="both"/>
        <w:rPr>
          <w:rFonts w:ascii="Arial" w:hAnsi="Arial" w:cs="Arial"/>
          <w:sz w:val="20"/>
          <w:szCs w:val="20"/>
          <w:u w:val="double"/>
          <w:lang w:val="en-US"/>
        </w:rPr>
      </w:pP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previously existing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basic biosecurity conditions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, including the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compartment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biosecurity plan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 xml:space="preserve">, have been reviewed and modified as necessary and have continuously been in place from the time of restocking with </w:t>
      </w:r>
      <w:r w:rsidRPr="00D30BC7">
        <w:rPr>
          <w:rFonts w:ascii="Arial" w:hAnsi="Arial" w:cs="Arial"/>
          <w:i/>
          <w:iCs/>
          <w:sz w:val="20"/>
          <w:szCs w:val="20"/>
          <w:u w:val="double"/>
          <w:lang w:val="en-US"/>
        </w:rPr>
        <w:t>aquatic animals</w:t>
      </w:r>
      <w:r w:rsidRPr="00D30BC7">
        <w:rPr>
          <w:rFonts w:ascii="Arial" w:hAnsi="Arial" w:cs="Arial"/>
          <w:sz w:val="20"/>
          <w:szCs w:val="20"/>
          <w:u w:val="double"/>
          <w:lang w:val="en-US"/>
        </w:rPr>
        <w:t> from an approved pathogen free source in accordance with the requirements of Articles X.X.9. and X.X.10. as appropriate; and</w:t>
      </w:r>
    </w:p>
    <w:p w14:paraId="08A1DC09" w14:textId="2C97E468" w:rsidR="00404821" w:rsidRPr="00D30BC7" w:rsidRDefault="00404821" w:rsidP="00404821">
      <w:pPr>
        <w:pStyle w:val="ListParagraph"/>
        <w:numPr>
          <w:ilvl w:val="1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</w:pPr>
      <w:r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the </w:t>
      </w:r>
      <w:r w:rsidRPr="00D30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u w:val="double"/>
          <w:lang w:eastAsia="en-AU"/>
        </w:rPr>
        <w:t>targeted surveillance</w:t>
      </w:r>
      <w:r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 and </w:t>
      </w:r>
      <w:r w:rsidRPr="00D30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u w:val="double"/>
          <w:lang w:eastAsia="en-AU"/>
        </w:rPr>
        <w:t>basic biosecurity conditions</w:t>
      </w:r>
      <w:r w:rsidRPr="00D30BC7">
        <w:rPr>
          <w:rFonts w:ascii="Arial" w:eastAsia="Times New Roman" w:hAnsi="Arial" w:cs="Arial"/>
          <w:color w:val="000000" w:themeColor="text1"/>
          <w:sz w:val="20"/>
          <w:szCs w:val="20"/>
          <w:u w:val="double"/>
          <w:lang w:eastAsia="en-AU"/>
        </w:rPr>
        <w:t xml:space="preserve"> described in point 1 have been applied without detection of the </w:t>
      </w:r>
      <w:r w:rsidRPr="00D30BC7">
        <w:rPr>
          <w:rFonts w:ascii="Arial" w:eastAsia="Times New Roman" w:hAnsi="Arial" w:cs="Arial"/>
          <w:i/>
          <w:iCs/>
          <w:color w:val="000000" w:themeColor="text1"/>
          <w:sz w:val="20"/>
          <w:szCs w:val="20"/>
          <w:u w:val="double"/>
          <w:lang w:eastAsia="en-AU"/>
        </w:rPr>
        <w:t xml:space="preserve">pathogenic agent. </w:t>
      </w:r>
    </w:p>
    <w:p w14:paraId="17B3A2FC" w14:textId="77777777" w:rsidR="00D30BC7" w:rsidRDefault="00D30BC7" w:rsidP="00841A32">
      <w:pPr>
        <w:ind w:left="360"/>
        <w:jc w:val="center"/>
      </w:pPr>
    </w:p>
    <w:p w14:paraId="6B240A9C" w14:textId="141F8164" w:rsidR="00841A32" w:rsidRPr="00A9006E" w:rsidRDefault="00841A32" w:rsidP="00841A32">
      <w:pPr>
        <w:ind w:left="360"/>
        <w:jc w:val="center"/>
      </w:pPr>
      <w:r>
        <w:t>_____________________________________</w:t>
      </w:r>
    </w:p>
    <w:p w14:paraId="270DA072" w14:textId="77777777" w:rsidR="000905CF" w:rsidRDefault="000905CF"/>
    <w:sectPr w:rsidR="000905CF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B27A45" w14:textId="77777777" w:rsidR="009B25E5" w:rsidRDefault="009B25E5" w:rsidP="003D6B56">
      <w:pPr>
        <w:spacing w:after="0" w:line="240" w:lineRule="auto"/>
      </w:pPr>
      <w:r>
        <w:separator/>
      </w:r>
    </w:p>
  </w:endnote>
  <w:endnote w:type="continuationSeparator" w:id="0">
    <w:p w14:paraId="087692DC" w14:textId="77777777" w:rsidR="009B25E5" w:rsidRDefault="009B25E5" w:rsidP="003D6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26918" w14:textId="77777777" w:rsidR="003D6B56" w:rsidRPr="003D6B56" w:rsidRDefault="003D6B56" w:rsidP="003D6B56">
    <w:pPr>
      <w:tabs>
        <w:tab w:val="left" w:pos="284"/>
        <w:tab w:val="left" w:pos="993"/>
        <w:tab w:val="left" w:pos="1418"/>
      </w:tabs>
      <w:spacing w:before="240" w:after="240" w:line="240" w:lineRule="exact"/>
      <w:jc w:val="both"/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</w:pPr>
    <w:r w:rsidRPr="003D6B56">
      <w:rPr>
        <w:rFonts w:ascii="Arial" w:eastAsia="Times New Roman" w:hAnsi="Arial" w:cs="Arial"/>
        <w:noProof/>
        <w:color w:val="E05435"/>
        <w:kern w:val="0"/>
        <w:sz w:val="18"/>
        <w:szCs w:val="18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A48146" wp14:editId="190031B9">
              <wp:simplePos x="0" y="0"/>
              <wp:positionH relativeFrom="margin">
                <wp:posOffset>-911447</wp:posOffset>
              </wp:positionH>
              <wp:positionV relativeFrom="paragraph">
                <wp:posOffset>222968</wp:posOffset>
              </wp:positionV>
              <wp:extent cx="9948231" cy="11017"/>
              <wp:effectExtent l="0" t="0" r="34290" b="27305"/>
              <wp:wrapNone/>
              <wp:docPr id="1373098117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948231" cy="11017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2ACEC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75pt,17.55pt" to="711.6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" strokecolor="#e05435" strokeweight=".5pt">
              <v:stroke joinstyle="miter"/>
              <w10:wrap anchorx="margin"/>
            </v:line>
          </w:pict>
        </mc:Fallback>
      </mc:AlternateContent>
    </w:r>
  </w:p>
  <w:p w14:paraId="4D349F03" w14:textId="5CEDCF15" w:rsidR="003D6B56" w:rsidRPr="003D6B56" w:rsidRDefault="003D6B56" w:rsidP="003D6B56">
    <w:pPr>
      <w:tabs>
        <w:tab w:val="left" w:pos="284"/>
        <w:tab w:val="left" w:pos="993"/>
        <w:tab w:val="left" w:pos="1418"/>
        <w:tab w:val="center" w:pos="4536"/>
        <w:tab w:val="right" w:pos="12758"/>
      </w:tabs>
      <w:spacing w:after="0" w:line="240" w:lineRule="exact"/>
      <w:jc w:val="both"/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</w:pPr>
    <w:r w:rsidRPr="003D6B56"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  <w:t>Report of the Meeting of the WOAH Aquatic Animal Health Standards Commission</w:t>
    </w:r>
    <w:r w:rsidRPr="003D6B56">
      <w:rPr>
        <w:rFonts w:ascii="Arial" w:eastAsia="MS Mincho" w:hAnsi="Arial" w:cs="Arial"/>
        <w:kern w:val="0"/>
        <w:sz w:val="18"/>
        <w:szCs w:val="18"/>
        <w:lang w:val="en-CA" w:eastAsia="ja-JP"/>
        <w14:ligatures w14:val="none"/>
      </w:rPr>
      <w:t xml:space="preserve"> </w:t>
    </w:r>
    <w:r w:rsidRPr="003D6B56"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  <w:t>/</w:t>
    </w:r>
    <w:r w:rsidRPr="003D6B56">
      <w:rPr>
        <w:rFonts w:ascii="Arial" w:eastAsia="MS Mincho" w:hAnsi="Arial" w:cs="Arial"/>
        <w:kern w:val="0"/>
        <w:sz w:val="18"/>
        <w:szCs w:val="18"/>
        <w:lang w:val="en-CA" w:eastAsia="ja-JP"/>
        <w14:ligatures w14:val="none"/>
      </w:rPr>
      <w:t xml:space="preserve"> February 2026</w:t>
    </w:r>
    <w:r w:rsidRPr="003D6B56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tab/>
    </w:r>
    <w:r w:rsidRPr="003D6B56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fldChar w:fldCharType="begin"/>
    </w:r>
    <w:r w:rsidRPr="003D6B56">
      <w:rPr>
        <w:rFonts w:ascii="Arial" w:eastAsia="Times New Roman" w:hAnsi="Arial" w:cs="Arial"/>
        <w:kern w:val="0"/>
        <w:sz w:val="18"/>
        <w:szCs w:val="18"/>
        <w:lang w:val="en-CA" w:eastAsia="en-GB"/>
        <w14:ligatures w14:val="none"/>
      </w:rPr>
      <w:instrText>PAGE   \* MERGEFORMAT</w:instrText>
    </w:r>
    <w:r w:rsidRPr="003D6B56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fldChar w:fldCharType="separate"/>
    </w:r>
    <w:r w:rsidRPr="003D6B56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t>1</w:t>
    </w:r>
    <w:r w:rsidRPr="003D6B56"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14F17" w14:textId="77777777" w:rsidR="009B25E5" w:rsidRDefault="009B25E5" w:rsidP="003D6B56">
      <w:pPr>
        <w:spacing w:after="0" w:line="240" w:lineRule="auto"/>
      </w:pPr>
      <w:r>
        <w:separator/>
      </w:r>
    </w:p>
  </w:footnote>
  <w:footnote w:type="continuationSeparator" w:id="0">
    <w:p w14:paraId="38C64C3F" w14:textId="77777777" w:rsidR="009B25E5" w:rsidRDefault="009B25E5" w:rsidP="003D6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13072163"/>
  <w:bookmarkStart w:id="1" w:name="_Hlk213072164"/>
  <w:p w14:paraId="541E42EC" w14:textId="77777777" w:rsidR="003215B1" w:rsidRPr="003215B1" w:rsidRDefault="003215B1" w:rsidP="003215B1">
    <w:pPr>
      <w:tabs>
        <w:tab w:val="left" w:pos="284"/>
        <w:tab w:val="left" w:pos="993"/>
        <w:tab w:val="left" w:pos="1418"/>
        <w:tab w:val="left" w:pos="2765"/>
      </w:tabs>
      <w:spacing w:after="0" w:line="240" w:lineRule="exact"/>
      <w:jc w:val="both"/>
      <w:rPr>
        <w:rFonts w:ascii="Arial" w:eastAsia="Times New Roman" w:hAnsi="Arial" w:cs="Arial"/>
        <w:kern w:val="0"/>
        <w:sz w:val="18"/>
        <w:szCs w:val="18"/>
        <w:lang w:eastAsia="en-GB"/>
        <w14:ligatures w14:val="none"/>
      </w:rPr>
    </w:pPr>
    <w:r w:rsidRPr="003215B1">
      <w:rPr>
        <w:rFonts w:ascii="Arial" w:eastAsia="Times New Roman" w:hAnsi="Arial" w:cs="Arial"/>
        <w:noProof/>
        <w:color w:val="E05435"/>
        <w:kern w:val="0"/>
        <w:sz w:val="18"/>
        <w:szCs w:val="18"/>
        <w:lang w:eastAsia="en-GB"/>
        <w14:ligatures w14:val="non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A2849" wp14:editId="42E8361C">
              <wp:simplePos x="0" y="0"/>
              <wp:positionH relativeFrom="margin">
                <wp:posOffset>-908685</wp:posOffset>
              </wp:positionH>
              <wp:positionV relativeFrom="paragraph">
                <wp:posOffset>223400</wp:posOffset>
              </wp:positionV>
              <wp:extent cx="9059641" cy="0"/>
              <wp:effectExtent l="0" t="0" r="0" b="0"/>
              <wp:wrapNone/>
              <wp:docPr id="707447878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059641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E0543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CA64AA7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71.55pt,17.6pt" to="641.8pt,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" strokecolor="#e05435" strokeweight=".5pt">
              <v:stroke joinstyle="miter"/>
              <w10:wrap anchorx="margin"/>
            </v:line>
          </w:pict>
        </mc:Fallback>
      </mc:AlternateContent>
    </w:r>
  </w:p>
  <w:bookmarkEnd w:id="0"/>
  <w:bookmarkEnd w:id="1"/>
  <w:p w14:paraId="41869D47" w14:textId="77777777" w:rsidR="003D6B56" w:rsidRDefault="003D6B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502EA"/>
    <w:multiLevelType w:val="multilevel"/>
    <w:tmpl w:val="FB7A2F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F50A6B"/>
    <w:multiLevelType w:val="multilevel"/>
    <w:tmpl w:val="3CDAC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333DF3"/>
    <w:multiLevelType w:val="multilevel"/>
    <w:tmpl w:val="A7222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C50A5F"/>
    <w:multiLevelType w:val="multilevel"/>
    <w:tmpl w:val="3CDAC1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706814">
    <w:abstractNumId w:val="2"/>
  </w:num>
  <w:num w:numId="2" w16cid:durableId="971014047">
    <w:abstractNumId w:val="3"/>
  </w:num>
  <w:num w:numId="3" w16cid:durableId="1548451469">
    <w:abstractNumId w:val="0"/>
  </w:num>
  <w:num w:numId="4" w16cid:durableId="1782459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69"/>
    <w:rsid w:val="0006154E"/>
    <w:rsid w:val="000905CF"/>
    <w:rsid w:val="000920B2"/>
    <w:rsid w:val="001772CA"/>
    <w:rsid w:val="001A59D1"/>
    <w:rsid w:val="001E7B8E"/>
    <w:rsid w:val="0020108F"/>
    <w:rsid w:val="00260E94"/>
    <w:rsid w:val="002B4883"/>
    <w:rsid w:val="003215B1"/>
    <w:rsid w:val="0034420D"/>
    <w:rsid w:val="003D24CC"/>
    <w:rsid w:val="003D6B56"/>
    <w:rsid w:val="00404821"/>
    <w:rsid w:val="004319EF"/>
    <w:rsid w:val="00433C1A"/>
    <w:rsid w:val="004932A2"/>
    <w:rsid w:val="004B0412"/>
    <w:rsid w:val="004B4CB5"/>
    <w:rsid w:val="005659B2"/>
    <w:rsid w:val="00576AA9"/>
    <w:rsid w:val="00586969"/>
    <w:rsid w:val="005F3B70"/>
    <w:rsid w:val="006701DE"/>
    <w:rsid w:val="00712561"/>
    <w:rsid w:val="00776533"/>
    <w:rsid w:val="007B6B62"/>
    <w:rsid w:val="007D25CD"/>
    <w:rsid w:val="008000AC"/>
    <w:rsid w:val="00841A32"/>
    <w:rsid w:val="00853E4A"/>
    <w:rsid w:val="009B25E5"/>
    <w:rsid w:val="009C0910"/>
    <w:rsid w:val="00A52030"/>
    <w:rsid w:val="00A9006E"/>
    <w:rsid w:val="00AE14D2"/>
    <w:rsid w:val="00B4245A"/>
    <w:rsid w:val="00B62FDB"/>
    <w:rsid w:val="00B9349E"/>
    <w:rsid w:val="00C73BB0"/>
    <w:rsid w:val="00D30BC7"/>
    <w:rsid w:val="00D470B9"/>
    <w:rsid w:val="00E36A67"/>
    <w:rsid w:val="00E70336"/>
    <w:rsid w:val="00EC33F7"/>
    <w:rsid w:val="00F57581"/>
    <w:rsid w:val="00F8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CEEB1"/>
  <w15:chartTrackingRefBased/>
  <w15:docId w15:val="{23381B95-88B6-42A9-B336-5523AA61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6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9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9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96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96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6969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969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969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969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969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969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969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586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969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6969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586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969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586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69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9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969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58696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8696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96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D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B56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D6B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B56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ée un document." ma:contentTypeScope="" ma:versionID="47f8b415568e19e5a0d46e23d40a9117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c468f0e07423c543e05986bd397e9557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092c5-56bb-4ca7-9d78-1e52ec73f2b1" xsi:nil="true"/>
    <lcf76f155ced4ddcb4097134ff3c332f xmlns="35464ca5-5ac9-44ca-a2c5-f63974a9d1a0">
      <Terms xmlns="http://schemas.microsoft.com/office/infopath/2007/PartnerControls"/>
    </lcf76f155ced4ddcb4097134ff3c332f>
    <SharedWithUsers xmlns="605092c5-56bb-4ca7-9d78-1e52ec73f2b1">
      <UserInfo>
        <DisplayName/>
        <AccountId xsi:nil="true"/>
        <AccountType/>
      </UserInfo>
    </SharedWithUsers>
    <Contenus xmlns="35464ca5-5ac9-44ca-a2c5-f63974a9d1a0" xsi:nil="true"/>
  </documentManagement>
</p:properties>
</file>

<file path=customXml/itemProps1.xml><?xml version="1.0" encoding="utf-8"?>
<ds:datastoreItem xmlns:ds="http://schemas.openxmlformats.org/officeDocument/2006/customXml" ds:itemID="{A4B2263C-074E-4167-BA44-7AF8E31FB013}"/>
</file>

<file path=customXml/itemProps2.xml><?xml version="1.0" encoding="utf-8"?>
<ds:datastoreItem xmlns:ds="http://schemas.openxmlformats.org/officeDocument/2006/customXml" ds:itemID="{7068E25B-1EF8-4DD8-9FBF-472C0895D5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86F492-B0C9-418E-A66C-AA8C9D56CF1B}">
  <ds:schemaRefs>
    <ds:schemaRef ds:uri="http://schemas.microsoft.com/office/2006/metadata/properties"/>
    <ds:schemaRef ds:uri="http://schemas.microsoft.com/office/infopath/2007/PartnerControls"/>
    <ds:schemaRef ds:uri="c4310aad-d41c-471a-8d4b-290545d5ba7f"/>
    <ds:schemaRef ds:uri="893fd4a9-69b0-4229-815d-5c6d520574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Kelly</dc:creator>
  <cp:keywords/>
  <dc:description/>
  <cp:lastModifiedBy>Ana Rita Sancho Silva</cp:lastModifiedBy>
  <cp:revision>30</cp:revision>
  <dcterms:created xsi:type="dcterms:W3CDTF">2026-02-13T13:20:00Z</dcterms:created>
  <dcterms:modified xsi:type="dcterms:W3CDTF">2026-03-16T07:53:00Z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29929400</vt:r8>
  </property>
</Properties>
</file>