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C696" w14:textId="1B80642E" w:rsidR="00B11309" w:rsidRPr="003376A9" w:rsidRDefault="00B11309" w:rsidP="003376A9">
      <w:pPr>
        <w:pStyle w:val="AnnexHeader"/>
      </w:pPr>
      <w:bookmarkStart w:id="0" w:name="_Toc149222923"/>
      <w:r w:rsidRPr="003376A9">
        <w:t xml:space="preserve">Annex </w:t>
      </w:r>
      <w:r w:rsidR="001E2693">
        <w:t>12</w:t>
      </w:r>
      <w:r w:rsidRPr="003376A9">
        <w:t xml:space="preserve">. Item </w:t>
      </w:r>
      <w:r w:rsidR="0095110F">
        <w:t>6</w:t>
      </w:r>
      <w:r w:rsidRPr="003376A9">
        <w:t>.</w:t>
      </w:r>
      <w:r w:rsidR="0095110F">
        <w:t>7.</w:t>
      </w:r>
      <w:r w:rsidRPr="003376A9">
        <w:t xml:space="preserve"> – Article </w:t>
      </w:r>
      <w:r w:rsidR="00E73BB6">
        <w:t>10</w:t>
      </w:r>
      <w:r w:rsidR="00A93421" w:rsidRPr="003376A9">
        <w:t>.</w:t>
      </w:r>
      <w:r w:rsidR="00E73BB6">
        <w:t>4</w:t>
      </w:r>
      <w:r w:rsidRPr="003376A9">
        <w:t>.</w:t>
      </w:r>
      <w:r w:rsidR="00E73BB6">
        <w:t>9</w:t>
      </w:r>
      <w:r w:rsidRPr="003376A9">
        <w:t xml:space="preserve">. of Chapter </w:t>
      </w:r>
      <w:r w:rsidR="00E73BB6">
        <w:t>10</w:t>
      </w:r>
      <w:r w:rsidR="00A93421" w:rsidRPr="003376A9">
        <w:t>.</w:t>
      </w:r>
      <w:r w:rsidR="00E73BB6">
        <w:t>4</w:t>
      </w:r>
      <w:r w:rsidRPr="003376A9">
        <w:t>. ‘Infection with</w:t>
      </w:r>
      <w:bookmarkEnd w:id="0"/>
      <w:r w:rsidR="00E3670E">
        <w:t xml:space="preserve"> </w:t>
      </w:r>
      <w:r w:rsidR="00A2662C">
        <w:t>infectious salmon anaemia virus</w:t>
      </w:r>
      <w:r w:rsidRPr="003376A9">
        <w:t>’</w:t>
      </w:r>
    </w:p>
    <w:p w14:paraId="47F1629E" w14:textId="3AACAC19" w:rsidR="00F060F1" w:rsidRPr="007A4E62" w:rsidRDefault="00F060F1" w:rsidP="00F060F1">
      <w:pPr>
        <w:tabs>
          <w:tab w:val="clear" w:pos="284"/>
          <w:tab w:val="clear" w:pos="993"/>
          <w:tab w:val="clear" w:pos="1418"/>
        </w:tabs>
        <w:spacing w:after="240" w:line="240" w:lineRule="auto"/>
        <w:jc w:val="center"/>
        <w:rPr>
          <w:rFonts w:ascii="Söhne Kräftig" w:hAnsi="Söhne Kräftig"/>
          <w:caps/>
          <w:color w:val="27282A"/>
          <w:spacing w:val="4"/>
          <w:sz w:val="24"/>
          <w:szCs w:val="24"/>
          <w:lang w:val="en-US" w:eastAsia="fr-FR"/>
        </w:rPr>
      </w:pPr>
      <w:r w:rsidRPr="007A4E62">
        <w:rPr>
          <w:rFonts w:ascii="Söhne Kräftig" w:hAnsi="Söhne Kräftig"/>
          <w:caps/>
          <w:color w:val="27282A"/>
          <w:spacing w:val="4"/>
          <w:sz w:val="24"/>
          <w:szCs w:val="24"/>
          <w:lang w:val="en-US" w:eastAsia="fr-FR"/>
        </w:rPr>
        <w:t>C</w:t>
      </w:r>
      <w:r w:rsidR="00DE3DE4" w:rsidRPr="007A4E62">
        <w:rPr>
          <w:rFonts w:ascii="Söhne Kräftig" w:hAnsi="Söhne Kräftig"/>
          <w:caps/>
          <w:color w:val="27282A"/>
          <w:spacing w:val="4"/>
          <w:sz w:val="24"/>
          <w:szCs w:val="24"/>
          <w:lang w:val="en-US" w:eastAsia="fr-FR"/>
        </w:rPr>
        <w:t>HAPTER</w:t>
      </w:r>
      <w:r w:rsidRPr="007A4E62">
        <w:rPr>
          <w:rFonts w:ascii="Söhne Kräftig" w:hAnsi="Söhne Kräftig"/>
          <w:caps/>
          <w:color w:val="27282A"/>
          <w:spacing w:val="4"/>
          <w:sz w:val="24"/>
          <w:szCs w:val="24"/>
          <w:lang w:val="en-US" w:eastAsia="fr-FR"/>
        </w:rPr>
        <w:t xml:space="preserve"> 9.</w:t>
      </w:r>
      <w:r w:rsidR="00DD24AA" w:rsidRPr="007A4E62">
        <w:rPr>
          <w:rFonts w:ascii="Söhne Kräftig" w:hAnsi="Söhne Kräftig"/>
          <w:caps/>
          <w:color w:val="27282A"/>
          <w:spacing w:val="4"/>
          <w:sz w:val="24"/>
          <w:szCs w:val="24"/>
          <w:lang w:val="en-US" w:eastAsia="fr-FR"/>
        </w:rPr>
        <w:t>2</w:t>
      </w:r>
      <w:r w:rsidRPr="007A4E62">
        <w:rPr>
          <w:rFonts w:ascii="Söhne Kräftig" w:hAnsi="Söhne Kräftig"/>
          <w:caps/>
          <w:color w:val="27282A"/>
          <w:spacing w:val="4"/>
          <w:sz w:val="24"/>
          <w:szCs w:val="24"/>
          <w:lang w:val="en-US" w:eastAsia="fr-FR"/>
        </w:rPr>
        <w:t>.</w:t>
      </w:r>
    </w:p>
    <w:p w14:paraId="31312AC2" w14:textId="5C243450" w:rsidR="00F060F1" w:rsidRPr="00A2662C" w:rsidRDefault="00DE3DE4" w:rsidP="00F060F1">
      <w:pPr>
        <w:tabs>
          <w:tab w:val="clear" w:pos="284"/>
          <w:tab w:val="clear" w:pos="993"/>
          <w:tab w:val="clear" w:pos="1418"/>
        </w:tabs>
        <w:spacing w:after="240" w:line="240" w:lineRule="auto"/>
        <w:jc w:val="center"/>
        <w:rPr>
          <w:rFonts w:ascii="Söhne Halbfett" w:hAnsi="Söhne Halbfett"/>
          <w:caps/>
          <w:color w:val="27282A"/>
          <w:spacing w:val="6"/>
          <w:sz w:val="28"/>
          <w:szCs w:val="28"/>
          <w:lang w:val="en-US" w:eastAsia="fr-FR"/>
        </w:rPr>
      </w:pPr>
      <w:r w:rsidRPr="00DE3DE4">
        <w:rPr>
          <w:rFonts w:ascii="Söhne Halbfett" w:hAnsi="Söhne Halbfett"/>
          <w:caps/>
          <w:color w:val="27282A"/>
          <w:spacing w:val="6"/>
          <w:sz w:val="28"/>
          <w:szCs w:val="28"/>
          <w:lang w:eastAsia="fr-FR"/>
        </w:rPr>
        <w:t>INFECTION WITH</w:t>
      </w:r>
      <w:r w:rsidR="00A2662C">
        <w:rPr>
          <w:rFonts w:ascii="Söhne Halbfett" w:hAnsi="Söhne Halbfett"/>
          <w:caps/>
          <w:color w:val="27282A"/>
          <w:spacing w:val="6"/>
          <w:sz w:val="28"/>
          <w:szCs w:val="28"/>
          <w:lang w:eastAsia="fr-FR"/>
        </w:rPr>
        <w:t xml:space="preserve"> INFECTIOUS SALMON ANAEMIA VIRUS</w:t>
      </w:r>
    </w:p>
    <w:p w14:paraId="5108BA5E" w14:textId="6FD6203F" w:rsidR="00F060F1" w:rsidRPr="000D6F6D" w:rsidRDefault="00F060F1" w:rsidP="00F060F1">
      <w:pPr>
        <w:tabs>
          <w:tab w:val="clear" w:pos="284"/>
          <w:tab w:val="clear" w:pos="993"/>
          <w:tab w:val="clear" w:pos="1418"/>
        </w:tabs>
        <w:spacing w:after="240" w:line="240" w:lineRule="auto"/>
        <w:jc w:val="center"/>
        <w:rPr>
          <w:rFonts w:ascii="Söhne" w:hAnsi="Söhne"/>
          <w:color w:val="27282A"/>
          <w:lang w:val="en-US" w:eastAsia="fr-FR"/>
        </w:rPr>
      </w:pPr>
      <w:r w:rsidRPr="000D6F6D">
        <w:rPr>
          <w:rFonts w:ascii="Söhne" w:hAnsi="Söhne"/>
          <w:color w:val="27282A"/>
          <w:lang w:val="en-US" w:eastAsia="fr-FR"/>
        </w:rPr>
        <w:t>[…]</w:t>
      </w:r>
    </w:p>
    <w:p w14:paraId="63D12D1D" w14:textId="77777777" w:rsidR="004B1A84" w:rsidRPr="004B1A84" w:rsidRDefault="004B1A84" w:rsidP="004B1A84">
      <w:pPr>
        <w:tabs>
          <w:tab w:val="clear" w:pos="284"/>
          <w:tab w:val="clear" w:pos="993"/>
          <w:tab w:val="clear" w:pos="1418"/>
        </w:tabs>
        <w:spacing w:after="240" w:line="240" w:lineRule="auto"/>
        <w:jc w:val="center"/>
        <w:rPr>
          <w:rFonts w:eastAsia="Aptos"/>
          <w:b/>
          <w:sz w:val="20"/>
          <w:szCs w:val="20"/>
          <w:lang w:val="en-NZ" w:eastAsia="en-US" w:bidi="en-US"/>
        </w:rPr>
      </w:pPr>
      <w:r w:rsidRPr="004B1A84">
        <w:rPr>
          <w:rFonts w:eastAsia="Aptos"/>
          <w:b/>
          <w:sz w:val="20"/>
          <w:szCs w:val="20"/>
          <w:lang w:val="en-NZ" w:eastAsia="en-US" w:bidi="en-US"/>
        </w:rPr>
        <w:t>Article 10.4.9.</w:t>
      </w:r>
    </w:p>
    <w:p w14:paraId="6ABCA080" w14:textId="77777777" w:rsidR="004B1A84" w:rsidRPr="004B1A84" w:rsidRDefault="004B1A84" w:rsidP="004B1A84">
      <w:pPr>
        <w:tabs>
          <w:tab w:val="clear" w:pos="284"/>
          <w:tab w:val="clear" w:pos="993"/>
          <w:tab w:val="clear" w:pos="1418"/>
        </w:tabs>
        <w:spacing w:after="240" w:line="240" w:lineRule="auto"/>
        <w:rPr>
          <w:rFonts w:eastAsia="Aptos"/>
          <w:b/>
          <w:bCs/>
          <w:sz w:val="20"/>
          <w:szCs w:val="20"/>
          <w:lang w:val="en-NZ" w:eastAsia="en-US" w:bidi="en-US"/>
        </w:rPr>
      </w:pPr>
      <w:r w:rsidRPr="004B1A84">
        <w:rPr>
          <w:rFonts w:eastAsia="Aptos"/>
          <w:b/>
          <w:bCs/>
          <w:sz w:val="20"/>
          <w:szCs w:val="20"/>
          <w:lang w:val="en-NZ" w:eastAsia="en-US" w:bidi="en-US"/>
        </w:rPr>
        <w:t>Compartment free from infection with ISAV</w:t>
      </w:r>
    </w:p>
    <w:p w14:paraId="61664F13" w14:textId="77777777" w:rsidR="004B1A84" w:rsidRPr="004B1A84" w:rsidRDefault="004B1A84" w:rsidP="004B1A84">
      <w:pPr>
        <w:tabs>
          <w:tab w:val="clear" w:pos="284"/>
          <w:tab w:val="clear" w:pos="993"/>
          <w:tab w:val="clear" w:pos="1418"/>
        </w:tabs>
        <w:spacing w:after="240" w:line="240" w:lineRule="auto"/>
        <w:rPr>
          <w:rFonts w:eastAsia="Aptos"/>
          <w:sz w:val="20"/>
          <w:szCs w:val="20"/>
          <w:lang w:val="en-NZ" w:eastAsia="en-US" w:bidi="en-US"/>
        </w:rPr>
      </w:pPr>
      <w:r w:rsidRPr="004B1A84">
        <w:rPr>
          <w:rFonts w:eastAsia="Aptos"/>
          <w:sz w:val="20"/>
          <w:szCs w:val="20"/>
          <w:lang w:val="en-NZ" w:eastAsia="en-US" w:bidi="en-US"/>
        </w:rPr>
        <w:t xml:space="preserve">In this article, all statements referring to a </w:t>
      </w:r>
      <w:hyperlink w:anchor="_bookmark36" w:history="1">
        <w:r w:rsidRPr="004B1A84">
          <w:rPr>
            <w:rFonts w:eastAsia="Aptos"/>
            <w:i/>
            <w:sz w:val="20"/>
            <w:szCs w:val="20"/>
            <w:lang w:val="en-NZ" w:eastAsia="en-US" w:bidi="en-US"/>
          </w:rPr>
          <w:t>compartment</w:t>
        </w:r>
      </w:hyperlink>
      <w:r w:rsidRPr="004B1A84">
        <w:rPr>
          <w:rFonts w:eastAsia="Aptos"/>
          <w:i/>
          <w:sz w:val="20"/>
          <w:szCs w:val="20"/>
          <w:lang w:val="en-NZ" w:eastAsia="en-US" w:bidi="en-US"/>
        </w:rPr>
        <w:t xml:space="preserve"> </w:t>
      </w:r>
      <w:r w:rsidRPr="004B1A84">
        <w:rPr>
          <w:rFonts w:eastAsia="Aptos"/>
          <w:sz w:val="20"/>
          <w:szCs w:val="20"/>
          <w:lang w:val="en-NZ" w:eastAsia="en-US" w:bidi="en-US"/>
        </w:rPr>
        <w:t>free from infection with ISAV are for any detectable ISAV, including HPR0 ISAV.</w:t>
      </w:r>
    </w:p>
    <w:p w14:paraId="2CF4806B" w14:textId="77777777" w:rsidR="004B1A84" w:rsidRPr="004B1A84" w:rsidRDefault="004B1A84" w:rsidP="004B1A84">
      <w:pPr>
        <w:tabs>
          <w:tab w:val="clear" w:pos="284"/>
          <w:tab w:val="clear" w:pos="993"/>
          <w:tab w:val="clear" w:pos="1418"/>
        </w:tabs>
        <w:spacing w:after="240" w:line="240" w:lineRule="auto"/>
        <w:rPr>
          <w:rFonts w:eastAsia="Aptos"/>
          <w:sz w:val="20"/>
          <w:szCs w:val="20"/>
          <w:lang w:val="en-NZ" w:eastAsia="en-US" w:bidi="en-US"/>
        </w:rPr>
      </w:pPr>
      <w:r w:rsidRPr="004B1A84">
        <w:rPr>
          <w:rFonts w:eastAsia="Aptos"/>
          <w:sz w:val="20"/>
          <w:szCs w:val="20"/>
          <w:lang w:val="en-NZ" w:eastAsia="en-US" w:bidi="en-US"/>
        </w:rPr>
        <w:t xml:space="preserve">As described in Article </w:t>
      </w:r>
      <w:hyperlink w:anchor="_bookmark149" w:history="1">
        <w:r w:rsidRPr="004B1A84">
          <w:rPr>
            <w:rFonts w:eastAsia="Aptos"/>
            <w:sz w:val="20"/>
            <w:szCs w:val="20"/>
            <w:lang w:val="en-NZ" w:eastAsia="en-US" w:bidi="en-US"/>
          </w:rPr>
          <w:t>1.4.4.</w:t>
        </w:r>
      </w:hyperlink>
      <w:r w:rsidRPr="004B1A84">
        <w:rPr>
          <w:rFonts w:eastAsia="Aptos"/>
          <w:sz w:val="20"/>
          <w:szCs w:val="20"/>
          <w:lang w:val="en-NZ" w:eastAsia="en-US" w:bidi="en-US"/>
        </w:rPr>
        <w:t xml:space="preserve">, a Member Country may make a self-declaration of freedom from infection with ISAV for a </w:t>
      </w:r>
      <w:hyperlink w:anchor="_bookmark36" w:history="1">
        <w:r w:rsidRPr="004B1A84">
          <w:rPr>
            <w:rFonts w:eastAsia="Aptos"/>
            <w:i/>
            <w:sz w:val="20"/>
            <w:szCs w:val="20"/>
            <w:lang w:val="en-NZ" w:eastAsia="en-US" w:bidi="en-US"/>
          </w:rPr>
          <w:t xml:space="preserve">compartment </w:t>
        </w:r>
      </w:hyperlink>
      <w:r w:rsidRPr="004B1A84">
        <w:rPr>
          <w:rFonts w:eastAsia="Aptos"/>
          <w:sz w:val="20"/>
          <w:szCs w:val="20"/>
          <w:lang w:val="en-NZ" w:eastAsia="en-US" w:bidi="en-US"/>
        </w:rPr>
        <w:t xml:space="preserve">within its </w:t>
      </w:r>
      <w:hyperlink w:anchor="_bookmark125" w:history="1">
        <w:r w:rsidRPr="004B1A84">
          <w:rPr>
            <w:rFonts w:eastAsia="Aptos"/>
            <w:i/>
            <w:sz w:val="20"/>
            <w:szCs w:val="20"/>
            <w:lang w:val="en-NZ" w:eastAsia="en-US" w:bidi="en-US"/>
          </w:rPr>
          <w:t xml:space="preserve">territory </w:t>
        </w:r>
      </w:hyperlink>
      <w:r w:rsidRPr="004B1A84">
        <w:rPr>
          <w:rFonts w:eastAsia="Aptos"/>
          <w:sz w:val="20"/>
          <w:szCs w:val="20"/>
          <w:lang w:val="en-NZ" w:eastAsia="en-US" w:bidi="en-US"/>
        </w:rPr>
        <w:t>if it can demonstrate that:</w:t>
      </w:r>
    </w:p>
    <w:p w14:paraId="3AEF4DA8" w14:textId="2D07C0B7" w:rsidR="004B1A84" w:rsidRPr="004B1A84" w:rsidRDefault="004B1A84" w:rsidP="004B1A84">
      <w:pPr>
        <w:tabs>
          <w:tab w:val="clear" w:pos="284"/>
          <w:tab w:val="clear" w:pos="993"/>
          <w:tab w:val="clear" w:pos="1418"/>
        </w:tabs>
        <w:spacing w:after="240" w:line="240" w:lineRule="auto"/>
        <w:ind w:left="426" w:hanging="426"/>
        <w:rPr>
          <w:rFonts w:eastAsia="Arial"/>
          <w:sz w:val="20"/>
          <w:lang w:val="en-NZ" w:eastAsia="en-US" w:bidi="en-US"/>
        </w:rPr>
      </w:pPr>
      <w:r w:rsidRPr="004B1A84">
        <w:rPr>
          <w:rFonts w:eastAsia="Aptos"/>
          <w:iCs/>
          <w:sz w:val="20"/>
          <w:lang w:val="en-NZ" w:eastAsia="fr-FR"/>
        </w:rPr>
        <w:t>1)</w:t>
      </w:r>
      <w:r w:rsidRPr="004B1A84">
        <w:rPr>
          <w:rFonts w:eastAsia="Aptos"/>
          <w:iCs/>
          <w:sz w:val="20"/>
          <w:lang w:val="en-NZ" w:eastAsia="fr-FR"/>
        </w:rPr>
        <w:tab/>
      </w:r>
      <w:r w:rsidRPr="004B1A84">
        <w:rPr>
          <w:rFonts w:eastAsia="Aptos"/>
          <w:i/>
          <w:sz w:val="20"/>
          <w:lang w:val="en-NZ" w:eastAsia="fr-FR"/>
        </w:rPr>
        <w:t>targeted surveillance</w:t>
      </w:r>
      <w:r w:rsidRPr="004B1A84">
        <w:rPr>
          <w:rFonts w:eastAsia="Aptos"/>
          <w:sz w:val="20"/>
          <w:lang w:val="en-NZ" w:eastAsia="fr-FR"/>
        </w:rPr>
        <w:t xml:space="preserve">, as described in Chapter 1.4., has been in place in the </w:t>
      </w:r>
      <w:r w:rsidRPr="004B1A84">
        <w:rPr>
          <w:rFonts w:eastAsia="Aptos"/>
          <w:i/>
          <w:sz w:val="20"/>
          <w:lang w:val="en-NZ" w:eastAsia="fr-FR"/>
        </w:rPr>
        <w:t>compartment</w:t>
      </w:r>
      <w:r w:rsidRPr="004B1A84">
        <w:rPr>
          <w:rFonts w:eastAsia="Aptos"/>
          <w:sz w:val="20"/>
          <w:lang w:val="en-NZ" w:eastAsia="fr-FR"/>
        </w:rPr>
        <w:t xml:space="preserve"> for at least the last</w:t>
      </w:r>
      <w:r w:rsidR="0095110F">
        <w:rPr>
          <w:rFonts w:eastAsia="Aptos"/>
          <w:sz w:val="20"/>
          <w:lang w:val="en-NZ" w:eastAsia="fr-FR"/>
        </w:rPr>
        <w:t xml:space="preserve"> </w:t>
      </w:r>
      <w:r w:rsidR="0095110F" w:rsidRPr="0095110F">
        <w:rPr>
          <w:rFonts w:eastAsia="Aptos"/>
          <w:sz w:val="20"/>
          <w:u w:val="double"/>
          <w:lang w:val="en-NZ" w:eastAsia="fr-FR"/>
        </w:rPr>
        <w:t>two</w:t>
      </w:r>
      <w:r w:rsidRPr="0095110F">
        <w:rPr>
          <w:rFonts w:eastAsia="Aptos"/>
          <w:strike/>
          <w:sz w:val="20"/>
          <w:lang w:val="en-NZ" w:eastAsia="fr-FR"/>
        </w:rPr>
        <w:t xml:space="preserve"> [under study]</w:t>
      </w:r>
      <w:r w:rsidRPr="001B55EC">
        <w:rPr>
          <w:rFonts w:eastAsia="Aptos"/>
          <w:sz w:val="20"/>
          <w:lang w:val="en-NZ" w:eastAsia="fr-FR"/>
        </w:rPr>
        <w:t xml:space="preserve"> </w:t>
      </w:r>
      <w:r w:rsidRPr="004B1A84">
        <w:rPr>
          <w:rFonts w:eastAsia="Aptos"/>
          <w:sz w:val="20"/>
          <w:lang w:val="en-NZ" w:eastAsia="fr-FR"/>
        </w:rPr>
        <w:t>year</w:t>
      </w:r>
      <w:r w:rsidR="0095110F" w:rsidRPr="0095110F">
        <w:rPr>
          <w:rFonts w:eastAsia="Aptos"/>
          <w:sz w:val="20"/>
          <w:u w:val="double"/>
          <w:lang w:val="en-NZ" w:eastAsia="fr-FR"/>
        </w:rPr>
        <w:t>s</w:t>
      </w:r>
      <w:r w:rsidRPr="004B1A84">
        <w:rPr>
          <w:rFonts w:eastAsia="Aptos"/>
          <w:sz w:val="20"/>
          <w:lang w:val="en-NZ" w:eastAsia="fr-FR"/>
        </w:rPr>
        <w:t xml:space="preserve"> without detection of ISAV, and </w:t>
      </w:r>
      <w:r w:rsidRPr="004B1A84">
        <w:rPr>
          <w:rFonts w:eastAsia="Aptos"/>
          <w:i/>
          <w:sz w:val="20"/>
          <w:lang w:val="en-NZ" w:eastAsia="fr-FR"/>
        </w:rPr>
        <w:t>basic biosecurity conditions</w:t>
      </w:r>
      <w:r w:rsidRPr="004B1A84">
        <w:rPr>
          <w:rFonts w:eastAsia="Aptos"/>
          <w:sz w:val="20"/>
          <w:lang w:val="en-NZ" w:eastAsia="fr-FR"/>
        </w:rPr>
        <w:t xml:space="preserve"> have been continuously met and have been in place for at least one</w:t>
      </w:r>
      <w:r w:rsidR="000E4763" w:rsidRPr="001B55EC">
        <w:rPr>
          <w:rFonts w:eastAsia="Aptos"/>
          <w:sz w:val="20"/>
          <w:lang w:val="en-NZ" w:eastAsia="fr-FR"/>
        </w:rPr>
        <w:t xml:space="preserve"> </w:t>
      </w:r>
      <w:r w:rsidRPr="004B1A84">
        <w:rPr>
          <w:rFonts w:eastAsia="Aptos"/>
          <w:sz w:val="20"/>
          <w:lang w:val="en-NZ" w:eastAsia="fr-FR"/>
        </w:rPr>
        <w:t xml:space="preserve">year prior to commencement of </w:t>
      </w:r>
      <w:r w:rsidRPr="004B1A84">
        <w:rPr>
          <w:rFonts w:eastAsia="Aptos"/>
          <w:i/>
          <w:sz w:val="20"/>
          <w:lang w:val="en-NZ" w:eastAsia="fr-FR"/>
        </w:rPr>
        <w:t>targeted surveillance</w:t>
      </w:r>
      <w:r w:rsidRPr="004B1A84">
        <w:rPr>
          <w:rFonts w:eastAsia="Aptos"/>
          <w:sz w:val="20"/>
          <w:lang w:val="en-NZ" w:eastAsia="fr-FR"/>
        </w:rPr>
        <w:t>;</w:t>
      </w:r>
    </w:p>
    <w:p w14:paraId="0982F622" w14:textId="77777777" w:rsidR="004B1A84" w:rsidRPr="004B1A84" w:rsidRDefault="004B1A84" w:rsidP="004B1A84">
      <w:pPr>
        <w:tabs>
          <w:tab w:val="clear" w:pos="284"/>
          <w:tab w:val="clear" w:pos="993"/>
          <w:tab w:val="clear" w:pos="1418"/>
        </w:tabs>
        <w:spacing w:after="240" w:line="240" w:lineRule="auto"/>
        <w:rPr>
          <w:rFonts w:eastAsia="Aptos"/>
          <w:sz w:val="20"/>
          <w:szCs w:val="20"/>
          <w:lang w:val="en-NZ" w:eastAsia="en-US" w:bidi="en-US"/>
        </w:rPr>
      </w:pPr>
      <w:r w:rsidRPr="004B1A84">
        <w:rPr>
          <w:rFonts w:eastAsia="Aptos"/>
          <w:sz w:val="20"/>
          <w:szCs w:val="20"/>
          <w:lang w:val="en-NZ" w:eastAsia="en-US" w:bidi="en-US"/>
        </w:rPr>
        <w:t>OR</w:t>
      </w:r>
    </w:p>
    <w:p w14:paraId="00293080" w14:textId="77777777" w:rsidR="004B1A84" w:rsidRPr="004B1A84" w:rsidRDefault="004B1A84" w:rsidP="004B1A84">
      <w:pPr>
        <w:tabs>
          <w:tab w:val="clear" w:pos="284"/>
          <w:tab w:val="clear" w:pos="993"/>
          <w:tab w:val="clear" w:pos="1418"/>
        </w:tabs>
        <w:spacing w:after="240" w:line="240" w:lineRule="auto"/>
        <w:ind w:left="426" w:hanging="426"/>
        <w:rPr>
          <w:rFonts w:eastAsia="Aptos"/>
          <w:sz w:val="20"/>
          <w:lang w:val="en-NZ" w:eastAsia="en-US" w:bidi="en-US"/>
        </w:rPr>
      </w:pPr>
      <w:r w:rsidRPr="004B1A84">
        <w:rPr>
          <w:rFonts w:eastAsia="Aptos"/>
          <w:sz w:val="20"/>
          <w:lang w:val="en-NZ" w:eastAsia="en-US" w:bidi="en-US"/>
        </w:rPr>
        <w:t>2)</w:t>
      </w:r>
      <w:r w:rsidRPr="004B1A84">
        <w:rPr>
          <w:rFonts w:eastAsia="Aptos"/>
          <w:sz w:val="20"/>
          <w:lang w:val="en-NZ" w:eastAsia="en-US" w:bidi="en-US"/>
        </w:rPr>
        <w:tab/>
        <w:t xml:space="preserve">it previously made a self-declaration of freedom for a </w:t>
      </w:r>
      <w:hyperlink w:anchor="_bookmark36" w:history="1">
        <w:r w:rsidRPr="004B1A84">
          <w:rPr>
            <w:rFonts w:eastAsia="Aptos"/>
            <w:i/>
            <w:sz w:val="20"/>
            <w:lang w:val="en-NZ" w:eastAsia="en-US" w:bidi="en-US"/>
          </w:rPr>
          <w:t xml:space="preserve">compartment </w:t>
        </w:r>
      </w:hyperlink>
      <w:r w:rsidRPr="004B1A84">
        <w:rPr>
          <w:rFonts w:eastAsia="Aptos"/>
          <w:sz w:val="20"/>
          <w:lang w:val="en-NZ" w:eastAsia="en-US" w:bidi="en-US"/>
        </w:rPr>
        <w:t xml:space="preserve">from infection with ISAV and subsequently lost its free status due to the detection of ISAV in the </w:t>
      </w:r>
      <w:hyperlink w:anchor="_bookmark36" w:history="1">
        <w:r w:rsidRPr="004B1A84">
          <w:rPr>
            <w:rFonts w:eastAsia="Aptos"/>
            <w:i/>
            <w:sz w:val="20"/>
            <w:lang w:val="en-NZ" w:eastAsia="en-US" w:bidi="en-US"/>
          </w:rPr>
          <w:t xml:space="preserve">compartment </w:t>
        </w:r>
      </w:hyperlink>
      <w:r w:rsidRPr="004B1A84">
        <w:rPr>
          <w:rFonts w:eastAsia="Aptos"/>
          <w:sz w:val="20"/>
          <w:lang w:val="en-NZ" w:eastAsia="en-US" w:bidi="en-US"/>
        </w:rPr>
        <w:t>but the following conditions have been met:</w:t>
      </w:r>
    </w:p>
    <w:p w14:paraId="4736502D" w14:textId="77777777" w:rsidR="004B1A84" w:rsidRPr="004B1A84" w:rsidRDefault="004B1A84" w:rsidP="004B1A84">
      <w:pPr>
        <w:tabs>
          <w:tab w:val="clear" w:pos="284"/>
          <w:tab w:val="clear" w:pos="993"/>
          <w:tab w:val="clear" w:pos="1418"/>
        </w:tabs>
        <w:spacing w:after="240" w:line="240" w:lineRule="auto"/>
        <w:ind w:left="851" w:hanging="425"/>
        <w:rPr>
          <w:rFonts w:eastAsia="Aptos"/>
          <w:sz w:val="20"/>
          <w:lang w:eastAsia="en-US" w:bidi="en-US"/>
        </w:rPr>
      </w:pPr>
      <w:r w:rsidRPr="004B1A84">
        <w:rPr>
          <w:rFonts w:eastAsia="Aptos"/>
          <w:sz w:val="20"/>
          <w:lang w:eastAsia="en-US" w:bidi="en-US"/>
        </w:rPr>
        <w:t>a)</w:t>
      </w:r>
      <w:r w:rsidRPr="004B1A84">
        <w:rPr>
          <w:rFonts w:eastAsia="Aptos"/>
          <w:sz w:val="20"/>
          <w:lang w:eastAsia="en-US" w:bidi="en-US"/>
        </w:rPr>
        <w:tab/>
        <w:t xml:space="preserve">all </w:t>
      </w:r>
      <w:hyperlink w:anchor="_bookmark16" w:history="1">
        <w:r w:rsidRPr="004B1A84">
          <w:rPr>
            <w:rFonts w:eastAsia="Aptos"/>
            <w:i/>
            <w:sz w:val="20"/>
            <w:lang w:eastAsia="en-US" w:bidi="en-US"/>
          </w:rPr>
          <w:t xml:space="preserve">aquatic animals </w:t>
        </w:r>
      </w:hyperlink>
      <w:r w:rsidRPr="004B1A84">
        <w:rPr>
          <w:rFonts w:eastAsia="Aptos"/>
          <w:sz w:val="20"/>
          <w:lang w:eastAsia="en-US" w:bidi="en-US"/>
        </w:rPr>
        <w:t xml:space="preserve">within the </w:t>
      </w:r>
      <w:hyperlink w:anchor="_bookmark36" w:history="1">
        <w:r w:rsidRPr="004B1A84">
          <w:rPr>
            <w:rFonts w:eastAsia="Aptos"/>
            <w:i/>
            <w:sz w:val="20"/>
            <w:lang w:eastAsia="en-US" w:bidi="en-US"/>
          </w:rPr>
          <w:t xml:space="preserve">compartment </w:t>
        </w:r>
      </w:hyperlink>
      <w:r w:rsidRPr="004B1A84">
        <w:rPr>
          <w:rFonts w:eastAsia="Aptos"/>
          <w:sz w:val="20"/>
          <w:lang w:eastAsia="en-US" w:bidi="en-US"/>
        </w:rPr>
        <w:t xml:space="preserve">have been killed and disposed of by means that minimise the likelihood of further transmission of ISAV, the appropriate </w:t>
      </w:r>
      <w:hyperlink w:anchor="_bookmark48" w:history="1">
        <w:r w:rsidRPr="004B1A84">
          <w:rPr>
            <w:rFonts w:eastAsia="Aptos"/>
            <w:i/>
            <w:sz w:val="20"/>
            <w:lang w:eastAsia="en-US" w:bidi="en-US"/>
          </w:rPr>
          <w:t>disinfection</w:t>
        </w:r>
      </w:hyperlink>
      <w:r w:rsidRPr="004B1A84">
        <w:rPr>
          <w:rFonts w:eastAsia="Aptos"/>
          <w:i/>
          <w:sz w:val="20"/>
          <w:lang w:eastAsia="en-US" w:bidi="en-US"/>
        </w:rPr>
        <w:t xml:space="preserve"> </w:t>
      </w:r>
      <w:r w:rsidRPr="004B1A84">
        <w:rPr>
          <w:rFonts w:eastAsia="Aptos"/>
          <w:sz w:val="20"/>
          <w:lang w:eastAsia="en-US" w:bidi="en-US"/>
        </w:rPr>
        <w:t xml:space="preserve">procedures (as described in Chapter </w:t>
      </w:r>
      <w:hyperlink w:anchor="_bookmark202" w:history="1">
        <w:r w:rsidRPr="004B1A84">
          <w:rPr>
            <w:rFonts w:eastAsia="Aptos"/>
            <w:sz w:val="20"/>
            <w:lang w:eastAsia="en-US" w:bidi="en-US"/>
          </w:rPr>
          <w:t>4.4.</w:t>
        </w:r>
      </w:hyperlink>
      <w:r w:rsidRPr="004B1A84">
        <w:rPr>
          <w:rFonts w:eastAsia="Aptos"/>
          <w:sz w:val="20"/>
          <w:lang w:eastAsia="en-US" w:bidi="en-US"/>
        </w:rPr>
        <w:t xml:space="preserve">) have been completed, and the </w:t>
      </w:r>
      <w:hyperlink w:anchor="_bookmark36" w:history="1">
        <w:r w:rsidRPr="004B1A84">
          <w:rPr>
            <w:rFonts w:eastAsia="Aptos"/>
            <w:i/>
            <w:sz w:val="20"/>
            <w:lang w:eastAsia="en-US" w:bidi="en-US"/>
          </w:rPr>
          <w:t xml:space="preserve">compartment </w:t>
        </w:r>
      </w:hyperlink>
      <w:r w:rsidRPr="004B1A84">
        <w:rPr>
          <w:rFonts w:eastAsia="Aptos"/>
          <w:sz w:val="20"/>
          <w:lang w:eastAsia="en-US" w:bidi="en-US"/>
        </w:rPr>
        <w:t xml:space="preserve">has been fallowed as described in Chapter </w:t>
      </w:r>
      <w:hyperlink w:anchor="_bookmark207" w:history="1">
        <w:r w:rsidRPr="004B1A84">
          <w:rPr>
            <w:rFonts w:eastAsia="Aptos"/>
            <w:sz w:val="20"/>
            <w:lang w:eastAsia="en-US" w:bidi="en-US"/>
          </w:rPr>
          <w:t>4.7.</w:t>
        </w:r>
      </w:hyperlink>
      <w:r w:rsidRPr="004B1A84">
        <w:rPr>
          <w:rFonts w:eastAsia="Aptos"/>
          <w:sz w:val="20"/>
          <w:lang w:eastAsia="en-US" w:bidi="en-US"/>
        </w:rPr>
        <w:t>; and</w:t>
      </w:r>
    </w:p>
    <w:p w14:paraId="09AEB89A" w14:textId="77777777" w:rsidR="004B1A84" w:rsidRPr="004B1A84" w:rsidRDefault="004B1A84" w:rsidP="004B1A84">
      <w:pPr>
        <w:tabs>
          <w:tab w:val="clear" w:pos="284"/>
          <w:tab w:val="clear" w:pos="993"/>
          <w:tab w:val="clear" w:pos="1418"/>
        </w:tabs>
        <w:spacing w:after="240" w:line="240" w:lineRule="auto"/>
        <w:ind w:left="851" w:hanging="425"/>
        <w:rPr>
          <w:rFonts w:eastAsia="Aptos"/>
          <w:sz w:val="20"/>
          <w:lang w:eastAsia="en-US" w:bidi="en-US"/>
        </w:rPr>
      </w:pPr>
      <w:r w:rsidRPr="004B1A84">
        <w:rPr>
          <w:rFonts w:eastAsia="Aptos"/>
          <w:sz w:val="20"/>
          <w:lang w:eastAsia="en-US" w:bidi="en-US"/>
        </w:rPr>
        <w:t>b)</w:t>
      </w:r>
      <w:r w:rsidRPr="004B1A84">
        <w:rPr>
          <w:rFonts w:eastAsia="Aptos"/>
          <w:sz w:val="20"/>
          <w:lang w:eastAsia="en-US" w:bidi="en-US"/>
        </w:rPr>
        <w:tab/>
        <w:t xml:space="preserve">previously existing </w:t>
      </w:r>
      <w:hyperlink w:anchor="_bookmark22" w:history="1">
        <w:r w:rsidRPr="004B1A84">
          <w:rPr>
            <w:rFonts w:eastAsia="Aptos"/>
            <w:i/>
            <w:sz w:val="20"/>
            <w:lang w:eastAsia="en-US" w:bidi="en-US"/>
          </w:rPr>
          <w:t>basic biosecurity conditions</w:t>
        </w:r>
      </w:hyperlink>
      <w:r w:rsidRPr="004B1A84">
        <w:rPr>
          <w:rFonts w:eastAsia="Aptos"/>
          <w:sz w:val="20"/>
          <w:lang w:eastAsia="en-US" w:bidi="en-US"/>
        </w:rPr>
        <w:t xml:space="preserve">, including the </w:t>
      </w:r>
      <w:hyperlink w:anchor="_bookmark36" w:history="1">
        <w:r w:rsidRPr="004B1A84">
          <w:rPr>
            <w:rFonts w:eastAsia="Aptos"/>
            <w:i/>
            <w:sz w:val="20"/>
            <w:lang w:eastAsia="en-US" w:bidi="en-US"/>
          </w:rPr>
          <w:t xml:space="preserve">compartment </w:t>
        </w:r>
      </w:hyperlink>
      <w:hyperlink w:anchor="_bookmark28" w:history="1">
        <w:r w:rsidRPr="004B1A84">
          <w:rPr>
            <w:rFonts w:eastAsia="Aptos"/>
            <w:i/>
            <w:sz w:val="20"/>
            <w:lang w:eastAsia="en-US" w:bidi="en-US"/>
          </w:rPr>
          <w:t>biosecurity plan</w:t>
        </w:r>
      </w:hyperlink>
      <w:r w:rsidRPr="004B1A84">
        <w:rPr>
          <w:rFonts w:eastAsia="Aptos"/>
          <w:sz w:val="20"/>
          <w:lang w:eastAsia="en-US" w:bidi="en-US"/>
        </w:rPr>
        <w:t>, have been reviewed and modified as necessary and have continuously been in place from the time of restocking with</w:t>
      </w:r>
      <w:hyperlink w:anchor="_bookmark16" w:history="1">
        <w:r w:rsidRPr="004B1A84">
          <w:rPr>
            <w:rFonts w:eastAsia="Aptos"/>
            <w:sz w:val="20"/>
            <w:lang w:eastAsia="en-US" w:bidi="en-US"/>
          </w:rPr>
          <w:t xml:space="preserve"> </w:t>
        </w:r>
        <w:r w:rsidRPr="004B1A84">
          <w:rPr>
            <w:rFonts w:eastAsia="Aptos"/>
            <w:i/>
            <w:sz w:val="20"/>
            <w:lang w:eastAsia="en-US" w:bidi="en-US"/>
          </w:rPr>
          <w:t>aquatic animals</w:t>
        </w:r>
      </w:hyperlink>
      <w:r w:rsidRPr="004B1A84">
        <w:rPr>
          <w:rFonts w:eastAsia="Aptos"/>
          <w:i/>
          <w:sz w:val="20"/>
          <w:lang w:eastAsia="en-US" w:bidi="en-US"/>
        </w:rPr>
        <w:t xml:space="preserve"> </w:t>
      </w:r>
      <w:r w:rsidRPr="004B1A84">
        <w:rPr>
          <w:rFonts w:eastAsia="Aptos"/>
          <w:sz w:val="20"/>
          <w:lang w:eastAsia="en-US" w:bidi="en-US"/>
        </w:rPr>
        <w:t xml:space="preserve">from an approved pathogen free source in accordance with the requirements of Articles </w:t>
      </w:r>
      <w:hyperlink w:anchor="_bookmark448" w:history="1">
        <w:r w:rsidRPr="004B1A84">
          <w:rPr>
            <w:rFonts w:eastAsia="Aptos"/>
            <w:sz w:val="20"/>
            <w:lang w:eastAsia="en-US" w:bidi="en-US"/>
          </w:rPr>
          <w:t xml:space="preserve">10.4.13. </w:t>
        </w:r>
      </w:hyperlink>
      <w:r w:rsidRPr="004B1A84">
        <w:rPr>
          <w:rFonts w:eastAsia="Aptos"/>
          <w:sz w:val="20"/>
          <w:lang w:eastAsia="en-US" w:bidi="en-US"/>
        </w:rPr>
        <w:t xml:space="preserve">and </w:t>
      </w:r>
      <w:hyperlink w:anchor="_bookmark449" w:history="1">
        <w:r w:rsidRPr="004B1A84">
          <w:rPr>
            <w:rFonts w:eastAsia="Aptos"/>
            <w:sz w:val="20"/>
            <w:lang w:eastAsia="en-US" w:bidi="en-US"/>
          </w:rPr>
          <w:t xml:space="preserve">10.4.14. </w:t>
        </w:r>
      </w:hyperlink>
      <w:r w:rsidRPr="004B1A84">
        <w:rPr>
          <w:rFonts w:eastAsia="Aptos"/>
          <w:sz w:val="20"/>
          <w:lang w:eastAsia="en-US" w:bidi="en-US"/>
        </w:rPr>
        <w:t>as appropriate; and</w:t>
      </w:r>
    </w:p>
    <w:p w14:paraId="0EEC9D2D" w14:textId="47B73057" w:rsidR="004B1A84" w:rsidRPr="004B1A84" w:rsidRDefault="004B1A84" w:rsidP="004B1A84">
      <w:pPr>
        <w:tabs>
          <w:tab w:val="clear" w:pos="284"/>
          <w:tab w:val="clear" w:pos="993"/>
          <w:tab w:val="clear" w:pos="1418"/>
        </w:tabs>
        <w:spacing w:after="240" w:line="240" w:lineRule="auto"/>
        <w:ind w:left="851" w:hanging="425"/>
        <w:rPr>
          <w:rFonts w:eastAsia="Arial"/>
          <w:sz w:val="20"/>
          <w:lang w:eastAsia="en-US" w:bidi="en-US"/>
        </w:rPr>
      </w:pPr>
      <w:r w:rsidRPr="004B1A84">
        <w:rPr>
          <w:rFonts w:eastAsia="Aptos"/>
          <w:sz w:val="20"/>
          <w:lang w:eastAsia="fr-FR"/>
        </w:rPr>
        <w:t>c)</w:t>
      </w:r>
      <w:r w:rsidRPr="004B1A84">
        <w:rPr>
          <w:rFonts w:eastAsia="Aptos"/>
          <w:sz w:val="20"/>
          <w:lang w:eastAsia="fr-FR"/>
        </w:rPr>
        <w:tab/>
        <w:t xml:space="preserve">one survey for infection with ISAV has been completed at least six months after restocking (as described in Article 1.4.14.) without detection of the </w:t>
      </w:r>
      <w:r w:rsidRPr="004B1A84">
        <w:rPr>
          <w:rFonts w:eastAsia="Aptos"/>
          <w:i/>
          <w:iCs/>
          <w:sz w:val="20"/>
          <w:lang w:eastAsia="fr-FR"/>
        </w:rPr>
        <w:t>pathogenic agent</w:t>
      </w:r>
      <w:r w:rsidRPr="004B1A84">
        <w:rPr>
          <w:rFonts w:eastAsia="Aptos"/>
          <w:sz w:val="20"/>
          <w:lang w:eastAsia="fr-FR"/>
        </w:rPr>
        <w:t>.</w:t>
      </w:r>
    </w:p>
    <w:p w14:paraId="5D375DA1" w14:textId="77777777" w:rsidR="00540813" w:rsidRPr="001B55EC" w:rsidRDefault="00540813" w:rsidP="00F060F1">
      <w:pPr>
        <w:tabs>
          <w:tab w:val="clear" w:pos="284"/>
          <w:tab w:val="clear" w:pos="993"/>
          <w:tab w:val="clear" w:pos="1418"/>
        </w:tabs>
        <w:spacing w:after="240" w:line="240" w:lineRule="auto"/>
        <w:rPr>
          <w:rFonts w:ascii="Söhne" w:hAnsi="Söhne"/>
          <w:color w:val="27282A"/>
          <w:lang w:eastAsia="fr-FR"/>
        </w:rPr>
      </w:pPr>
    </w:p>
    <w:p w14:paraId="0B6A0DFB" w14:textId="53E46195" w:rsidR="0086425C" w:rsidRPr="001B55EC" w:rsidRDefault="00F060F1" w:rsidP="00793DE5">
      <w:pPr>
        <w:tabs>
          <w:tab w:val="clear" w:pos="284"/>
          <w:tab w:val="clear" w:pos="993"/>
          <w:tab w:val="clear" w:pos="1418"/>
        </w:tabs>
        <w:spacing w:after="240" w:line="240" w:lineRule="auto"/>
        <w:jc w:val="center"/>
        <w:rPr>
          <w:rFonts w:ascii="Söhne" w:hAnsi="Söhne"/>
          <w:color w:val="27282A"/>
          <w:lang w:val="es-ES" w:eastAsia="fr-FR"/>
        </w:rPr>
      </w:pPr>
      <w:r w:rsidRPr="001B55EC">
        <w:rPr>
          <w:rFonts w:ascii="Söhne" w:hAnsi="Söhne"/>
          <w:color w:val="27282A"/>
          <w:lang w:val="es-ES" w:eastAsia="fr-FR"/>
        </w:rPr>
        <w:t>[…]</w:t>
      </w:r>
    </w:p>
    <w:p w14:paraId="43B8F46B" w14:textId="77777777" w:rsidR="000D6F6D" w:rsidRPr="001B55EC" w:rsidRDefault="000D6F6D" w:rsidP="000D6F6D">
      <w:pPr>
        <w:jc w:val="center"/>
        <w:rPr>
          <w:b/>
          <w:bCs/>
          <w:sz w:val="20"/>
          <w:szCs w:val="20"/>
        </w:rPr>
      </w:pPr>
      <w:r w:rsidRPr="001B55EC">
        <w:rPr>
          <w:rFonts w:eastAsia="Calibri"/>
        </w:rPr>
        <w:t>____________</w:t>
      </w:r>
    </w:p>
    <w:p w14:paraId="39FD4125" w14:textId="77777777" w:rsidR="000D6F6D" w:rsidRPr="001B55EC" w:rsidRDefault="000D6F6D" w:rsidP="00793DE5">
      <w:pPr>
        <w:tabs>
          <w:tab w:val="clear" w:pos="284"/>
          <w:tab w:val="clear" w:pos="993"/>
          <w:tab w:val="clear" w:pos="1418"/>
        </w:tabs>
        <w:spacing w:after="240" w:line="240" w:lineRule="auto"/>
        <w:jc w:val="center"/>
        <w:rPr>
          <w:rFonts w:ascii="Söhne" w:hAnsi="Söhne"/>
          <w:color w:val="27282A"/>
          <w:lang w:val="es-ES" w:eastAsia="fr-FR"/>
        </w:rPr>
      </w:pPr>
    </w:p>
    <w:sectPr w:rsidR="000D6F6D" w:rsidRPr="001B55EC" w:rsidSect="00A6533A">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67860" w14:textId="77777777" w:rsidR="003F1D04" w:rsidRDefault="003F1D04" w:rsidP="00D01468">
      <w:pPr>
        <w:spacing w:line="240" w:lineRule="auto"/>
      </w:pPr>
      <w:r>
        <w:separator/>
      </w:r>
    </w:p>
  </w:endnote>
  <w:endnote w:type="continuationSeparator" w:id="0">
    <w:p w14:paraId="528BBE79" w14:textId="77777777" w:rsidR="003F1D04" w:rsidRDefault="003F1D04" w:rsidP="00D0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9C46" w14:textId="77777777" w:rsidR="007A4E62" w:rsidRDefault="007A4E6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23F0C" w14:textId="77777777" w:rsidR="00A6533A" w:rsidRPr="00A76AE4" w:rsidRDefault="00A6533A" w:rsidP="00A6533A">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0DE44AD6" wp14:editId="0A17A007">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2AD44"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639C8648" w14:textId="0C6FFF1D" w:rsidR="004554F4" w:rsidRPr="00A6533A" w:rsidRDefault="00A6533A" w:rsidP="00A6533A">
    <w:pPr>
      <w:tabs>
        <w:tab w:val="center" w:pos="4536"/>
        <w:tab w:val="right" w:pos="12758"/>
      </w:tabs>
      <w:rPr>
        <w:lang w:val="en-CA"/>
      </w:rPr>
    </w:pPr>
    <w:r w:rsidRPr="00F24761">
      <w:rPr>
        <w:lang w:val="en-CA"/>
      </w:rPr>
      <w:t>Report of the Meeting of the WOAH Aquatic Animal Health Standards Commission</w:t>
    </w:r>
    <w:r w:rsidRPr="00F24761">
      <w:rPr>
        <w:rFonts w:eastAsia="MS Mincho"/>
        <w:lang w:val="en-CA" w:eastAsia="ja-JP"/>
      </w:rPr>
      <w:t xml:space="preserve"> </w:t>
    </w:r>
    <w:r w:rsidRPr="00F24761">
      <w:rPr>
        <w:lang w:val="en-CA"/>
      </w:rPr>
      <w:t>/</w:t>
    </w:r>
    <w:r w:rsidRPr="00F24761">
      <w:rPr>
        <w:rFonts w:eastAsia="MS Mincho"/>
        <w:lang w:val="en-CA" w:eastAsia="ja-JP"/>
      </w:rPr>
      <w:t xml:space="preserve"> September 2025</w:t>
    </w:r>
    <w:r w:rsidRPr="00F24761">
      <w:rPr>
        <w:lang w:val="en-CA"/>
      </w:rPr>
      <w:tab/>
    </w:r>
    <w:r w:rsidRPr="00F24761">
      <w:fldChar w:fldCharType="begin"/>
    </w:r>
    <w:r w:rsidRPr="00F24761">
      <w:rPr>
        <w:lang w:val="en-CA"/>
      </w:rPr>
      <w:instrText>PAGE   \* MERGEFORMAT</w:instrText>
    </w:r>
    <w:r w:rsidRPr="00F24761">
      <w:fldChar w:fldCharType="separate"/>
    </w:r>
    <w:r>
      <w:t>30</w:t>
    </w:r>
    <w:r w:rsidRPr="00F2476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D51D" w14:textId="77777777" w:rsidR="007A4E62" w:rsidRDefault="007A4E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7EB8" w14:textId="77777777" w:rsidR="003F1D04" w:rsidRDefault="003F1D04" w:rsidP="00D01468">
      <w:pPr>
        <w:spacing w:line="240" w:lineRule="auto"/>
      </w:pPr>
      <w:r>
        <w:separator/>
      </w:r>
    </w:p>
  </w:footnote>
  <w:footnote w:type="continuationSeparator" w:id="0">
    <w:p w14:paraId="1D2EF1F1" w14:textId="77777777" w:rsidR="003F1D04" w:rsidRDefault="003F1D04" w:rsidP="00D01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501C" w14:textId="77777777" w:rsidR="007A4E62" w:rsidRDefault="007A4E6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AF86" w14:textId="77777777" w:rsidR="007A4E62" w:rsidRDefault="007A4E62" w:rsidP="007A4E62">
    <w:pPr>
      <w:tabs>
        <w:tab w:val="left" w:pos="2765"/>
      </w:tabs>
    </w:pPr>
    <w:bookmarkStart w:id="1" w:name="_Hlk213072163"/>
    <w:bookmarkStart w:id="2" w:name="_Hlk213072164"/>
    <w:r w:rsidRPr="00D77DD3">
      <w:rPr>
        <w:noProof/>
        <w:color w:val="E05435"/>
      </w:rPr>
      <mc:AlternateContent>
        <mc:Choice Requires="wps">
          <w:drawing>
            <wp:anchor distT="0" distB="0" distL="114300" distR="114300" simplePos="0" relativeHeight="251659264" behindDoc="0" locked="0" layoutInCell="1" allowOverlap="1" wp14:anchorId="5595D0B8" wp14:editId="6F74FB08">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8EEBEA"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bookmarkEnd w:id="1"/>
  <w:bookmarkEnd w:id="2"/>
  <w:p w14:paraId="0288B882" w14:textId="77777777" w:rsidR="00D01468" w:rsidRDefault="00D0146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3D9C" w14:textId="77777777" w:rsidR="007A4E62" w:rsidRDefault="007A4E6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2"/>
  </w:num>
  <w:num w:numId="2" w16cid:durableId="1515682385">
    <w:abstractNumId w:val="2"/>
  </w:num>
  <w:num w:numId="3" w16cid:durableId="1081177100">
    <w:abstractNumId w:val="4"/>
  </w:num>
  <w:num w:numId="4" w16cid:durableId="901986837">
    <w:abstractNumId w:val="4"/>
  </w:num>
  <w:num w:numId="5" w16cid:durableId="91632373">
    <w:abstractNumId w:val="4"/>
  </w:num>
  <w:num w:numId="6" w16cid:durableId="395324152">
    <w:abstractNumId w:val="4"/>
  </w:num>
  <w:num w:numId="7" w16cid:durableId="481431777">
    <w:abstractNumId w:val="1"/>
  </w:num>
  <w:num w:numId="8" w16cid:durableId="975914541">
    <w:abstractNumId w:val="3"/>
  </w:num>
  <w:num w:numId="9" w16cid:durableId="1924098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F1"/>
    <w:rsid w:val="00045193"/>
    <w:rsid w:val="00053435"/>
    <w:rsid w:val="00071EC5"/>
    <w:rsid w:val="000C39BD"/>
    <w:rsid w:val="000D6F6D"/>
    <w:rsid w:val="000E4763"/>
    <w:rsid w:val="0010513B"/>
    <w:rsid w:val="00113C16"/>
    <w:rsid w:val="00125258"/>
    <w:rsid w:val="00131537"/>
    <w:rsid w:val="00151C86"/>
    <w:rsid w:val="00171661"/>
    <w:rsid w:val="001847BF"/>
    <w:rsid w:val="00185A92"/>
    <w:rsid w:val="00187AA3"/>
    <w:rsid w:val="001B4850"/>
    <w:rsid w:val="001B55EC"/>
    <w:rsid w:val="001D4F30"/>
    <w:rsid w:val="001D60BD"/>
    <w:rsid w:val="001E2693"/>
    <w:rsid w:val="00264177"/>
    <w:rsid w:val="00266694"/>
    <w:rsid w:val="00277167"/>
    <w:rsid w:val="00282B4D"/>
    <w:rsid w:val="00286832"/>
    <w:rsid w:val="002A36D1"/>
    <w:rsid w:val="002C50CA"/>
    <w:rsid w:val="002F7359"/>
    <w:rsid w:val="003053AC"/>
    <w:rsid w:val="00307C13"/>
    <w:rsid w:val="003376A9"/>
    <w:rsid w:val="003631D7"/>
    <w:rsid w:val="00394040"/>
    <w:rsid w:val="003C39DA"/>
    <w:rsid w:val="003F1D04"/>
    <w:rsid w:val="004554F4"/>
    <w:rsid w:val="004673DC"/>
    <w:rsid w:val="00475576"/>
    <w:rsid w:val="004B1A84"/>
    <w:rsid w:val="004E5209"/>
    <w:rsid w:val="00523A6E"/>
    <w:rsid w:val="00540813"/>
    <w:rsid w:val="005460CF"/>
    <w:rsid w:val="0056278D"/>
    <w:rsid w:val="005855DD"/>
    <w:rsid w:val="005912C1"/>
    <w:rsid w:val="00591E80"/>
    <w:rsid w:val="005A6747"/>
    <w:rsid w:val="005D2286"/>
    <w:rsid w:val="005E277A"/>
    <w:rsid w:val="005E6FFD"/>
    <w:rsid w:val="005F1D11"/>
    <w:rsid w:val="005F5BA0"/>
    <w:rsid w:val="005F68DB"/>
    <w:rsid w:val="006B00A3"/>
    <w:rsid w:val="006C1832"/>
    <w:rsid w:val="006C1EAD"/>
    <w:rsid w:val="006C1FF6"/>
    <w:rsid w:val="006C64A6"/>
    <w:rsid w:val="006E47A6"/>
    <w:rsid w:val="006E699F"/>
    <w:rsid w:val="00792369"/>
    <w:rsid w:val="00793DE5"/>
    <w:rsid w:val="007A3E47"/>
    <w:rsid w:val="007A4E62"/>
    <w:rsid w:val="007B6F9C"/>
    <w:rsid w:val="00814D06"/>
    <w:rsid w:val="008254E2"/>
    <w:rsid w:val="008268DE"/>
    <w:rsid w:val="00833BAF"/>
    <w:rsid w:val="008614A2"/>
    <w:rsid w:val="0086425C"/>
    <w:rsid w:val="008B60AC"/>
    <w:rsid w:val="008C3DE2"/>
    <w:rsid w:val="009455A9"/>
    <w:rsid w:val="0095110F"/>
    <w:rsid w:val="0096438E"/>
    <w:rsid w:val="009747D4"/>
    <w:rsid w:val="00977CE8"/>
    <w:rsid w:val="00986D84"/>
    <w:rsid w:val="009876FE"/>
    <w:rsid w:val="00991194"/>
    <w:rsid w:val="009B21CC"/>
    <w:rsid w:val="009B4FE7"/>
    <w:rsid w:val="009D02B2"/>
    <w:rsid w:val="009E67D8"/>
    <w:rsid w:val="00A01761"/>
    <w:rsid w:val="00A2662C"/>
    <w:rsid w:val="00A61F17"/>
    <w:rsid w:val="00A6533A"/>
    <w:rsid w:val="00A83E4D"/>
    <w:rsid w:val="00A93421"/>
    <w:rsid w:val="00A9663F"/>
    <w:rsid w:val="00B11309"/>
    <w:rsid w:val="00B15BC1"/>
    <w:rsid w:val="00B163EC"/>
    <w:rsid w:val="00B26814"/>
    <w:rsid w:val="00B71A8A"/>
    <w:rsid w:val="00B7695E"/>
    <w:rsid w:val="00BC55EE"/>
    <w:rsid w:val="00BC76AA"/>
    <w:rsid w:val="00BD691F"/>
    <w:rsid w:val="00BD7228"/>
    <w:rsid w:val="00BF1F0B"/>
    <w:rsid w:val="00C03F3E"/>
    <w:rsid w:val="00C13955"/>
    <w:rsid w:val="00C2595A"/>
    <w:rsid w:val="00C55F4C"/>
    <w:rsid w:val="00C75882"/>
    <w:rsid w:val="00C83DE8"/>
    <w:rsid w:val="00D01468"/>
    <w:rsid w:val="00D23C75"/>
    <w:rsid w:val="00D24F71"/>
    <w:rsid w:val="00D32A29"/>
    <w:rsid w:val="00D42AFC"/>
    <w:rsid w:val="00D50458"/>
    <w:rsid w:val="00D57A07"/>
    <w:rsid w:val="00DC3EB6"/>
    <w:rsid w:val="00DD24AA"/>
    <w:rsid w:val="00DE3DE4"/>
    <w:rsid w:val="00E3670E"/>
    <w:rsid w:val="00E53121"/>
    <w:rsid w:val="00E57FB2"/>
    <w:rsid w:val="00E73BB6"/>
    <w:rsid w:val="00F060F1"/>
    <w:rsid w:val="00F20DDE"/>
    <w:rsid w:val="00F23CCC"/>
    <w:rsid w:val="00F57581"/>
    <w:rsid w:val="00F61CC1"/>
    <w:rsid w:val="00F72BE1"/>
    <w:rsid w:val="00F735F1"/>
    <w:rsid w:val="00FD2955"/>
    <w:rsid w:val="00FD2E16"/>
    <w:rsid w:val="00FF14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34132"/>
  <w15:chartTrackingRefBased/>
  <w15:docId w15:val="{DDE0BFAB-A52E-41A7-ACCF-F20BC78F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Titre1">
    <w:name w:val="heading 1"/>
    <w:basedOn w:val="Normal"/>
    <w:next w:val="Normal"/>
    <w:link w:val="Titre1Car"/>
    <w:uiPriority w:val="9"/>
    <w:rsid w:val="00792369"/>
    <w:pPr>
      <w:keepNext/>
      <w:keepLines/>
      <w:spacing w:before="480" w:after="120"/>
      <w:outlineLvl w:val="0"/>
    </w:pPr>
    <w:rPr>
      <w:rFonts w:ascii="Montserrat Medium" w:hAnsi="Montserrat Medium"/>
      <w:color w:val="412341"/>
      <w:sz w:val="48"/>
      <w:szCs w:val="48"/>
    </w:rPr>
  </w:style>
  <w:style w:type="paragraph" w:styleId="Titre2">
    <w:name w:val="heading 2"/>
    <w:basedOn w:val="Normal"/>
    <w:next w:val="Normal"/>
    <w:link w:val="Titre2C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Titre3">
    <w:name w:val="heading 3"/>
    <w:basedOn w:val="Normal"/>
    <w:next w:val="Normal"/>
    <w:link w:val="Titre3Car"/>
    <w:uiPriority w:val="9"/>
    <w:semiHidden/>
    <w:unhideWhenUsed/>
    <w:qFormat/>
    <w:rsid w:val="00792369"/>
    <w:pPr>
      <w:keepNext/>
      <w:keepLines/>
      <w:spacing w:before="40"/>
      <w:outlineLvl w:val="2"/>
    </w:pPr>
    <w:rPr>
      <w:rFonts w:ascii="Calibri Light" w:hAnsi="Calibri Light" w:cs="Times New Roman"/>
      <w:color w:val="1F3763"/>
    </w:rPr>
  </w:style>
  <w:style w:type="paragraph" w:styleId="Titre4">
    <w:name w:val="heading 4"/>
    <w:basedOn w:val="Normal"/>
    <w:next w:val="Normal"/>
    <w:link w:val="Titre4C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AHArticleNumber">
    <w:name w:val="WOAH_Article Number"/>
    <w:basedOn w:val="Titre5"/>
    <w:qFormat/>
    <w:rsid w:val="00BC76AA"/>
    <w:pPr>
      <w:spacing w:after="240" w:line="240" w:lineRule="auto"/>
      <w:jc w:val="center"/>
    </w:pPr>
    <w:rPr>
      <w:rFonts w:ascii="Söhne Kräftig" w:hAnsi="Söhne Kräftig" w:cs="Arial"/>
      <w:b/>
      <w:bCs/>
      <w:color w:val="auto"/>
      <w:lang w:val="en-US"/>
    </w:rPr>
  </w:style>
  <w:style w:type="character" w:customStyle="1" w:styleId="Titre5Car">
    <w:name w:val="Titre 5 Car"/>
    <w:basedOn w:val="Policepardfaut"/>
    <w:link w:val="Titre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Titre3"/>
    <w:qFormat/>
    <w:rsid w:val="00BC76AA"/>
    <w:pPr>
      <w:spacing w:after="240" w:line="240" w:lineRule="auto"/>
      <w:jc w:val="center"/>
    </w:pPr>
    <w:rPr>
      <w:rFonts w:ascii="Söhne Kräftig" w:hAnsi="Söhne Kräftig" w:cs="Arial"/>
      <w:color w:val="auto"/>
      <w:spacing w:val="60"/>
      <w:lang w:val="en-US"/>
    </w:rPr>
  </w:style>
  <w:style w:type="character" w:customStyle="1" w:styleId="Titre3Car">
    <w:name w:val="Titre 3 Car"/>
    <w:link w:val="Titre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Titre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Titre4Car">
    <w:name w:val="Titre 4 Car"/>
    <w:basedOn w:val="Policepardfaut"/>
    <w:link w:val="Titre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Policepardfaut"/>
    <w:uiPriority w:val="1"/>
    <w:qFormat/>
    <w:rsid w:val="00BC76AA"/>
    <w:rPr>
      <w:rFonts w:ascii="Söhne" w:hAnsi="Söhne"/>
      <w:sz w:val="18"/>
      <w:u w:val="double"/>
    </w:rPr>
  </w:style>
  <w:style w:type="character" w:customStyle="1" w:styleId="WOAHItaliccharacter">
    <w:name w:val="WOAH_Italic_character"/>
    <w:basedOn w:val="Policepardfau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Titre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Titre1Car">
    <w:name w:val="Titre 1 Car"/>
    <w:link w:val="Titre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Titre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Titre2Car">
    <w:name w:val="Titre 2 Car"/>
    <w:link w:val="Titre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Policepardfau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Appelnotedebasdep">
    <w:name w:val="footnote reference"/>
    <w:basedOn w:val="Policepardfaut"/>
    <w:uiPriority w:val="99"/>
    <w:semiHidden/>
    <w:unhideWhenUsed/>
    <w:rsid w:val="00792369"/>
    <w:rPr>
      <w:vertAlign w:val="superscript"/>
    </w:rPr>
  </w:style>
  <w:style w:type="paragraph" w:styleId="Commentaire">
    <w:name w:val="annotation text"/>
    <w:basedOn w:val="Normal"/>
    <w:link w:val="CommentaireCar"/>
    <w:uiPriority w:val="99"/>
    <w:unhideWhenUsed/>
    <w:rsid w:val="00792369"/>
    <w:pPr>
      <w:spacing w:line="240" w:lineRule="auto"/>
    </w:pPr>
    <w:rPr>
      <w:sz w:val="20"/>
      <w:szCs w:val="20"/>
    </w:rPr>
  </w:style>
  <w:style w:type="character" w:customStyle="1" w:styleId="CommentaireCar">
    <w:name w:val="Commentaire Car"/>
    <w:basedOn w:val="Policepardfaut"/>
    <w:link w:val="Commentaire"/>
    <w:uiPriority w:val="99"/>
    <w:rsid w:val="00792369"/>
    <w:rPr>
      <w:rFonts w:ascii="Arial" w:eastAsia="Times New Roman" w:hAnsi="Arial" w:cs="Arial"/>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92369"/>
    <w:rPr>
      <w:rFonts w:ascii="Arial" w:eastAsia="Times New Roman" w:hAnsi="Arial" w:cs="Arial"/>
      <w:sz w:val="18"/>
      <w:szCs w:val="18"/>
      <w:lang w:val="en-GB" w:eastAsia="en-GB"/>
    </w:rPr>
  </w:style>
  <w:style w:type="character" w:styleId="Lienhypertexte">
    <w:name w:val="Hyperlink"/>
    <w:basedOn w:val="Policepardfaut"/>
    <w:uiPriority w:val="99"/>
    <w:unhideWhenUsed/>
    <w:rsid w:val="00792369"/>
    <w:rPr>
      <w:color w:val="0563C1" w:themeColor="hyperlink"/>
      <w:u w:val="single"/>
    </w:rPr>
  </w:style>
  <w:style w:type="character" w:styleId="Marquedecommentaire">
    <w:name w:val="annotation reference"/>
    <w:basedOn w:val="Policepardfaut"/>
    <w:uiPriority w:val="99"/>
    <w:unhideWhenUsed/>
    <w:rsid w:val="00792369"/>
    <w:rPr>
      <w:sz w:val="16"/>
      <w:szCs w:val="16"/>
    </w:rPr>
  </w:style>
  <w:style w:type="character" w:styleId="Mention">
    <w:name w:val="Mention"/>
    <w:basedOn w:val="Policepardfaut"/>
    <w:uiPriority w:val="99"/>
    <w:unhideWhenUsed/>
    <w:rsid w:val="00792369"/>
    <w:rPr>
      <w:color w:val="2B579A"/>
      <w:shd w:val="clear" w:color="auto" w:fill="E1DFDD"/>
    </w:rPr>
  </w:style>
  <w:style w:type="character" w:styleId="Mentionnonrsolue">
    <w:name w:val="Unresolved Mention"/>
    <w:basedOn w:val="Policepardfaut"/>
    <w:uiPriority w:val="99"/>
    <w:semiHidden/>
    <w:unhideWhenUsed/>
    <w:rsid w:val="00792369"/>
    <w:rPr>
      <w:color w:val="605E5C"/>
      <w:shd w:val="clear" w:color="auto" w:fill="E1DFDD"/>
    </w:rPr>
  </w:style>
  <w:style w:type="paragraph" w:styleId="Notedebasdepage">
    <w:name w:val="footnote text"/>
    <w:basedOn w:val="Normal"/>
    <w:link w:val="NotedebasdepageCar"/>
    <w:uiPriority w:val="99"/>
    <w:semiHidden/>
    <w:unhideWhenUsed/>
    <w:rsid w:val="00792369"/>
    <w:pPr>
      <w:spacing w:line="240" w:lineRule="auto"/>
    </w:pPr>
    <w:rPr>
      <w:sz w:val="20"/>
      <w:szCs w:val="20"/>
    </w:rPr>
  </w:style>
  <w:style w:type="character" w:customStyle="1" w:styleId="NotedebasdepageCar">
    <w:name w:val="Note de bas de page Car"/>
    <w:basedOn w:val="Policepardfaut"/>
    <w:link w:val="Notedebasdepage"/>
    <w:uiPriority w:val="99"/>
    <w:semiHidden/>
    <w:rsid w:val="00792369"/>
    <w:rPr>
      <w:rFonts w:ascii="Arial" w:eastAsia="Times New Roman" w:hAnsi="Arial" w:cs="Arial"/>
      <w:lang w:val="en-GB" w:eastAsia="en-GB"/>
    </w:rPr>
  </w:style>
  <w:style w:type="paragraph" w:styleId="Objetducommentaire">
    <w:name w:val="annotation subject"/>
    <w:basedOn w:val="Commentaire"/>
    <w:next w:val="Commentaire"/>
    <w:link w:val="ObjetducommentaireCar"/>
    <w:uiPriority w:val="99"/>
    <w:semiHidden/>
    <w:unhideWhenUsed/>
    <w:rsid w:val="00792369"/>
    <w:rPr>
      <w:b/>
      <w:bCs/>
    </w:rPr>
  </w:style>
  <w:style w:type="character" w:customStyle="1" w:styleId="ObjetducommentaireCar">
    <w:name w:val="Objet du commentaire Car"/>
    <w:basedOn w:val="CommentaireCar"/>
    <w:link w:val="Objetducommentaire"/>
    <w:uiPriority w:val="99"/>
    <w:semiHidden/>
    <w:rsid w:val="00792369"/>
    <w:rPr>
      <w:rFonts w:ascii="Arial" w:eastAsia="Times New Roman" w:hAnsi="Arial" w:cs="Arial"/>
      <w:b/>
      <w:bCs/>
      <w:lang w:val="en-GB" w:eastAsia="en-GB"/>
    </w:rPr>
  </w:style>
  <w:style w:type="paragraph" w:styleId="Paragraphedeliste">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Pieddepage">
    <w:name w:val="footer"/>
    <w:basedOn w:val="Normal"/>
    <w:link w:val="PieddepageC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PieddepageCar">
    <w:name w:val="Pied de page Car"/>
    <w:basedOn w:val="Policepardfaut"/>
    <w:link w:val="Pieddepage"/>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TableauListe6Couleur">
    <w:name w:val="List Table 6 Colorful"/>
    <w:basedOn w:val="Tableau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Policepardfau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Policepardfau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Policepardfaut"/>
    <w:uiPriority w:val="1"/>
    <w:qFormat/>
    <w:rsid w:val="00792369"/>
    <w:rPr>
      <w:rFonts w:ascii="Arial" w:hAnsi="Arial"/>
      <w:color w:val="FF4815"/>
      <w:sz w:val="18"/>
      <w:u w:val="single"/>
    </w:rPr>
  </w:style>
  <w:style w:type="character" w:customStyle="1" w:styleId="WOAHItalic-character">
    <w:name w:val="WOAH_Italic-character"/>
    <w:basedOn w:val="Policepardfau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Policepardfau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Policepardfaut"/>
    <w:uiPriority w:val="1"/>
    <w:qFormat/>
    <w:rsid w:val="00792369"/>
    <w:rPr>
      <w:rFonts w:ascii="Arial" w:hAnsi="Arial"/>
      <w:sz w:val="18"/>
      <w:u w:val="single"/>
    </w:rPr>
  </w:style>
  <w:style w:type="table" w:customStyle="1" w:styleId="TableGrid1">
    <w:name w:val="Table Grid1"/>
    <w:basedOn w:val="TableauNormal"/>
    <w:next w:val="Grilledutableau"/>
    <w:uiPriority w:val="59"/>
    <w:rsid w:val="00071EC5"/>
    <w:rPr>
      <w:rFonts w:eastAsia="Calibri"/>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071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376A9"/>
    <w:pPr>
      <w:keepNext/>
      <w:keepLines/>
      <w:tabs>
        <w:tab w:val="clear" w:pos="284"/>
        <w:tab w:val="clear" w:pos="993"/>
        <w:tab w:val="clear" w:pos="1418"/>
      </w:tabs>
      <w:spacing w:before="240" w:after="480" w:line="240" w:lineRule="auto"/>
      <w:jc w:val="center"/>
      <w:outlineLvl w:val="0"/>
    </w:pPr>
    <w:rPr>
      <w:rFonts w:eastAsia="Yu Gothic Light"/>
      <w:b/>
      <w:bCs/>
      <w:iCs/>
      <w:sz w:val="20"/>
      <w:szCs w:val="20"/>
      <w:lang w:eastAsia="en-US"/>
    </w:rPr>
  </w:style>
  <w:style w:type="table" w:customStyle="1" w:styleId="TableGrid39">
    <w:name w:val="Table Grid39"/>
    <w:basedOn w:val="TableauNormal"/>
    <w:next w:val="Grilledutableau"/>
    <w:uiPriority w:val="59"/>
    <w:rsid w:val="00D01468"/>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auNormal"/>
    <w:next w:val="Grilledutableau"/>
    <w:uiPriority w:val="59"/>
    <w:rsid w:val="004554F4"/>
    <w:rPr>
      <w:rFonts w:ascii="Times New Roman" w:eastAsia="Malgun Gothic" w:hAnsi="Times New Roman"/>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994200">
      <w:bodyDiv w:val="1"/>
      <w:marLeft w:val="0"/>
      <w:marRight w:val="0"/>
      <w:marTop w:val="0"/>
      <w:marBottom w:val="0"/>
      <w:divBdr>
        <w:top w:val="none" w:sz="0" w:space="0" w:color="auto"/>
        <w:left w:val="none" w:sz="0" w:space="0" w:color="auto"/>
        <w:bottom w:val="none" w:sz="0" w:space="0" w:color="auto"/>
        <w:right w:val="none" w:sz="0" w:space="0" w:color="auto"/>
      </w:divBdr>
      <w:divsChild>
        <w:div w:id="1385719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3C0DF-635E-4352-AB40-6A9512AA20AE}">
  <ds:schemaRefs>
    <ds:schemaRef ds:uri="http://schemas.microsoft.com/sharepoint/v3/contenttype/forms"/>
  </ds:schemaRefs>
</ds:datastoreItem>
</file>

<file path=customXml/itemProps2.xml><?xml version="1.0" encoding="utf-8"?>
<ds:datastoreItem xmlns:ds="http://schemas.openxmlformats.org/officeDocument/2006/customXml" ds:itemID="{49BAAF4E-782E-44C2-81C8-F688D7661596}">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9EF12DE1-EFF3-4B3F-BD44-A81A0AD050C1}"/>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2093</Characters>
  <Application>Microsoft Office Word</Application>
  <DocSecurity>0</DocSecurity>
  <Lines>38</Lines>
  <Paragraphs>22</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Claudia Campos</cp:lastModifiedBy>
  <cp:revision>27</cp:revision>
  <dcterms:created xsi:type="dcterms:W3CDTF">2024-10-29T11:04:00Z</dcterms:created>
  <dcterms:modified xsi:type="dcterms:W3CDTF">2025-11-04T12:20:00Z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20811800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