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7B545" w14:textId="77777777" w:rsidR="00983C95" w:rsidRDefault="00983C95" w:rsidP="00983C95">
      <w:pPr>
        <w:pStyle w:val="Annextitle"/>
        <w:rPr>
          <w:rFonts w:ascii="Söhne" w:eastAsia="Arial" w:hAnsi="Söhne"/>
          <w:lang w:bidi="en-US"/>
        </w:rPr>
      </w:pPr>
      <w:r w:rsidRPr="001F13AD">
        <w:t xml:space="preserve">Annex </w:t>
      </w:r>
      <w:r>
        <w:t>24</w:t>
      </w:r>
      <w:r w:rsidRPr="001F13AD">
        <w:t xml:space="preserve">. Item </w:t>
      </w:r>
      <w:r>
        <w:t>10.1.3</w:t>
      </w:r>
      <w:r w:rsidRPr="001F13AD">
        <w:t xml:space="preserve">. – </w:t>
      </w:r>
      <w:r w:rsidRPr="00EC0D89">
        <w:t xml:space="preserve">Chapter </w:t>
      </w:r>
      <w:r w:rsidRPr="0024032A">
        <w:t>2.2.4. Infection with infectious hypodermal and haematopoietic necrosis virus</w:t>
      </w:r>
    </w:p>
    <w:p w14:paraId="7361DA4D" w14:textId="77777777" w:rsidR="00983C95" w:rsidRPr="00A547B4" w:rsidRDefault="00983C95" w:rsidP="00983C95">
      <w:pPr>
        <w:pBdr>
          <w:bottom w:val="single" w:sz="6" w:space="6" w:color="auto"/>
        </w:pBdr>
        <w:spacing w:after="480" w:line="240" w:lineRule="auto"/>
        <w:jc w:val="center"/>
        <w:rPr>
          <w:rFonts w:ascii="Söhne Halbfett" w:eastAsia="Calibri" w:hAnsi="Söhne Halbfett" w:cs="Times New Roman"/>
          <w:bCs/>
          <w:iCs/>
          <w:caps/>
          <w:spacing w:val="40"/>
          <w:sz w:val="32"/>
          <w:szCs w:val="24"/>
          <w:lang w:bidi="en-US"/>
        </w:rPr>
      </w:pPr>
      <w:r w:rsidRPr="00A547B4">
        <w:rPr>
          <w:rFonts w:ascii="Söhne Kräftig" w:eastAsia="Times New Roman" w:hAnsi="Söhne Kräftig" w:cs="Arial"/>
          <w:bCs/>
          <w:iCs/>
          <w:caps/>
          <w:spacing w:val="40"/>
          <w:sz w:val="24"/>
          <w:szCs w:val="24"/>
          <w:lang w:val="en-IE" w:bidi="en-US"/>
        </w:rPr>
        <w:t>CHAPTER 2.2.4.</w:t>
      </w:r>
      <w:r w:rsidRPr="00A547B4">
        <w:rPr>
          <w:rFonts w:ascii="Söhne Kräftig" w:eastAsia="Times New Roman" w:hAnsi="Söhne Kräftig" w:cs="Arial"/>
          <w:bCs/>
          <w:iCs/>
          <w:caps/>
          <w:spacing w:val="40"/>
          <w:sz w:val="24"/>
          <w:szCs w:val="24"/>
          <w:lang w:val="en-IE" w:bidi="en-US"/>
        </w:rPr>
        <w:br/>
      </w:r>
      <w:r w:rsidRPr="00A547B4">
        <w:rPr>
          <w:rFonts w:ascii="Söhne Kräftig" w:eastAsia="Times New Roman" w:hAnsi="Söhne Kräftig" w:cs="Arial"/>
          <w:bCs/>
          <w:iCs/>
          <w:caps/>
          <w:spacing w:val="40"/>
          <w:sz w:val="24"/>
          <w:szCs w:val="24"/>
          <w:lang w:val="en-IE" w:bidi="en-US"/>
        </w:rPr>
        <w:br/>
      </w:r>
      <w:r w:rsidRPr="00A547B4">
        <w:rPr>
          <w:rFonts w:ascii="Söhne Halbfett" w:eastAsia="Calibri" w:hAnsi="Söhne Halbfett" w:cs="Times New Roman"/>
          <w:bCs/>
          <w:iCs/>
          <w:caps/>
          <w:spacing w:val="40"/>
          <w:sz w:val="32"/>
          <w:szCs w:val="24"/>
          <w:lang w:bidi="en-US"/>
        </w:rPr>
        <w:t xml:space="preserve">infection with INFECTIOUS HYPODERMAL </w:t>
      </w:r>
      <w:r w:rsidRPr="00A547B4">
        <w:rPr>
          <w:rFonts w:ascii="Söhne Halbfett" w:eastAsia="Calibri" w:hAnsi="Söhne Halbfett" w:cs="Times New Roman"/>
          <w:bCs/>
          <w:iCs/>
          <w:caps/>
          <w:spacing w:val="40"/>
          <w:sz w:val="32"/>
          <w:szCs w:val="24"/>
          <w:lang w:bidi="en-US"/>
        </w:rPr>
        <w:br/>
        <w:t>AND HAEMATOPOIETIC NECROSIS virus</w:t>
      </w:r>
    </w:p>
    <w:p w14:paraId="0C00ABB2" w14:textId="77777777" w:rsidR="00983C95" w:rsidRPr="00A547B4" w:rsidRDefault="00983C95" w:rsidP="00983C95">
      <w:pPr>
        <w:widowControl w:val="0"/>
        <w:spacing w:after="240" w:line="240" w:lineRule="auto"/>
        <w:ind w:left="284" w:right="-6" w:hanging="284"/>
        <w:jc w:val="both"/>
        <w:rPr>
          <w:rFonts w:ascii="Söhne Kräftig" w:eastAsia="Arial" w:hAnsi="Söhne Kräftig" w:cs="Arial"/>
          <w:szCs w:val="18"/>
          <w:lang w:val="en-US"/>
        </w:rPr>
      </w:pPr>
      <w:r w:rsidRPr="00A547B4">
        <w:rPr>
          <w:rFonts w:ascii="Söhne Kräftig" w:eastAsia="Arial" w:hAnsi="Söhne Kräftig" w:cs="Arial"/>
          <w:szCs w:val="18"/>
          <w:lang w:val="en-US"/>
        </w:rPr>
        <w:t>1.</w:t>
      </w:r>
      <w:r w:rsidRPr="00A547B4">
        <w:rPr>
          <w:rFonts w:ascii="Söhne Kräftig" w:eastAsia="Arial" w:hAnsi="Söhne Kräftig" w:cs="Arial"/>
          <w:szCs w:val="18"/>
          <w:lang w:val="en-US"/>
        </w:rPr>
        <w:tab/>
        <w:t>Scope</w:t>
      </w:r>
    </w:p>
    <w:p w14:paraId="10C7788D" w14:textId="77777777" w:rsidR="00983C95" w:rsidRPr="00A547B4" w:rsidRDefault="00983C95" w:rsidP="00983C95">
      <w:pPr>
        <w:spacing w:after="240" w:line="240" w:lineRule="auto"/>
        <w:jc w:val="both"/>
        <w:rPr>
          <w:rFonts w:ascii="Söhne" w:eastAsia="MS Mincho" w:hAnsi="Söhne" w:cs="Times New Roman"/>
          <w:sz w:val="18"/>
          <w:szCs w:val="18"/>
          <w:lang w:val="en-GB" w:bidi="en-US"/>
        </w:rPr>
      </w:pPr>
      <w:r w:rsidRPr="00A547B4">
        <w:rPr>
          <w:rFonts w:ascii="Söhne" w:eastAsia="Times New Roman" w:hAnsi="Söhne" w:cs="Times New Roman"/>
          <w:sz w:val="18"/>
          <w:szCs w:val="18"/>
          <w:lang w:val="en-IE" w:bidi="en-US"/>
        </w:rPr>
        <w:t xml:space="preserve">Infection with infectious hypodermal and haematopoietic necrosis virus means </w:t>
      </w:r>
      <w:r w:rsidRPr="00A547B4">
        <w:rPr>
          <w:rFonts w:ascii="Söhne" w:eastAsia="Arial" w:hAnsi="Söhne" w:cs="Times New Roman"/>
          <w:i/>
          <w:sz w:val="18"/>
          <w:szCs w:val="18"/>
          <w:u w:val="double"/>
          <w:lang w:val="en-US" w:bidi="en-US"/>
        </w:rPr>
        <w:t xml:space="preserve">infection </w:t>
      </w:r>
      <w:r w:rsidRPr="00A547B4">
        <w:rPr>
          <w:rFonts w:ascii="Söhne" w:eastAsia="Arial" w:hAnsi="Söhne" w:cs="Times New Roman"/>
          <w:sz w:val="18"/>
          <w:szCs w:val="18"/>
          <w:u w:val="double"/>
          <w:lang w:val="en-US" w:bidi="en-US"/>
        </w:rPr>
        <w:t xml:space="preserve">with the </w:t>
      </w:r>
      <w:r w:rsidRPr="00A547B4">
        <w:rPr>
          <w:rFonts w:ascii="Söhne" w:eastAsia="Arial" w:hAnsi="Söhne" w:cs="Times New Roman"/>
          <w:i/>
          <w:sz w:val="18"/>
          <w:szCs w:val="18"/>
          <w:u w:val="double"/>
          <w:lang w:val="en-US" w:bidi="en-US"/>
        </w:rPr>
        <w:t xml:space="preserve">pathogenic agent Decapod penstylhamaparvovirus </w:t>
      </w:r>
      <w:r w:rsidRPr="00A547B4">
        <w:rPr>
          <w:rFonts w:ascii="Söhne" w:eastAsia="Arial" w:hAnsi="Söhne" w:cs="Times New Roman"/>
          <w:sz w:val="18"/>
          <w:szCs w:val="18"/>
          <w:u w:val="double"/>
          <w:lang w:val="en-US" w:bidi="en-US"/>
        </w:rPr>
        <w:t xml:space="preserve">1, of the Genus </w:t>
      </w:r>
      <w:r w:rsidRPr="00A547B4">
        <w:rPr>
          <w:rFonts w:ascii="Söhne" w:eastAsia="Arial" w:hAnsi="Söhne" w:cs="Times New Roman"/>
          <w:i/>
          <w:sz w:val="18"/>
          <w:szCs w:val="18"/>
          <w:u w:val="double"/>
          <w:lang w:val="en-US" w:bidi="en-US"/>
        </w:rPr>
        <w:t xml:space="preserve">Penstylhamaparvovirus </w:t>
      </w:r>
      <w:r w:rsidRPr="00A547B4">
        <w:rPr>
          <w:rFonts w:ascii="Söhne" w:eastAsia="Arial" w:hAnsi="Söhne" w:cs="Times New Roman"/>
          <w:sz w:val="18"/>
          <w:szCs w:val="18"/>
          <w:u w:val="double"/>
          <w:lang w:val="en-US" w:bidi="en-US"/>
        </w:rPr>
        <w:t xml:space="preserve">and Family </w:t>
      </w:r>
      <w:r w:rsidRPr="00A547B4">
        <w:rPr>
          <w:rFonts w:ascii="Söhne" w:eastAsia="Arial" w:hAnsi="Söhne" w:cs="Times New Roman"/>
          <w:i/>
          <w:sz w:val="18"/>
          <w:szCs w:val="18"/>
          <w:u w:val="double"/>
          <w:lang w:val="en-US" w:bidi="en-US"/>
        </w:rPr>
        <w:t>Parvoviridae</w:t>
      </w:r>
      <w:r w:rsidRPr="00A547B4">
        <w:rPr>
          <w:rFonts w:ascii="Söhne" w:eastAsia="Arial" w:hAnsi="Söhne" w:cs="Times New Roman"/>
          <w:sz w:val="18"/>
          <w:szCs w:val="18"/>
          <w:lang w:val="en-IE" w:bidi="en-US"/>
        </w:rPr>
        <w:t xml:space="preserve"> </w:t>
      </w:r>
      <w:r w:rsidRPr="00A547B4">
        <w:rPr>
          <w:rFonts w:ascii="Söhne" w:eastAsia="Times New Roman" w:hAnsi="Söhne" w:cs="Times New Roman"/>
          <w:sz w:val="18"/>
          <w:szCs w:val="18"/>
          <w:lang w:val="en-IE" w:bidi="en-US"/>
        </w:rPr>
        <w:t>i</w:t>
      </w:r>
      <w:r w:rsidRPr="00A547B4">
        <w:rPr>
          <w:rFonts w:ascii="Söhne" w:eastAsia="Times New Roman" w:hAnsi="Söhne" w:cs="Times New Roman"/>
          <w:strike/>
          <w:sz w:val="18"/>
          <w:szCs w:val="18"/>
          <w:lang w:val="en-IE" w:bidi="en-US"/>
        </w:rPr>
        <w:t xml:space="preserve">nfection with </w:t>
      </w:r>
      <w:r w:rsidRPr="00A547B4">
        <w:rPr>
          <w:rFonts w:ascii="Söhne" w:eastAsia="Times New Roman" w:hAnsi="Söhne" w:cs="Times New Roman"/>
          <w:strike/>
          <w:sz w:val="18"/>
          <w:szCs w:val="18"/>
          <w:lang w:val="en-US" w:bidi="en-US"/>
        </w:rPr>
        <w:t xml:space="preserve">the </w:t>
      </w:r>
      <w:r w:rsidRPr="00A547B4">
        <w:rPr>
          <w:rFonts w:ascii="Söhne" w:eastAsia="Times New Roman" w:hAnsi="Söhne" w:cs="Times New Roman"/>
          <w:iCs/>
          <w:strike/>
          <w:sz w:val="18"/>
          <w:szCs w:val="18"/>
          <w:lang w:val="en-US" w:bidi="en-US"/>
        </w:rPr>
        <w:t>pathogenic agent</w:t>
      </w:r>
      <w:r w:rsidRPr="00A547B4">
        <w:rPr>
          <w:rFonts w:ascii="Söhne" w:eastAsia="Times New Roman" w:hAnsi="Söhne" w:cs="Times New Roman"/>
          <w:strike/>
          <w:sz w:val="18"/>
          <w:szCs w:val="18"/>
          <w:lang w:val="en-US" w:bidi="en-US"/>
        </w:rPr>
        <w:t xml:space="preserve"> </w:t>
      </w:r>
      <w:r w:rsidRPr="00A547B4">
        <w:rPr>
          <w:rFonts w:ascii="Söhne" w:eastAsia="Times New Roman" w:hAnsi="Söhne" w:cs="Times New Roman"/>
          <w:strike/>
          <w:sz w:val="18"/>
          <w:szCs w:val="18"/>
          <w:lang w:val="en-IE" w:bidi="en-US"/>
        </w:rPr>
        <w:t xml:space="preserve">infectious hypodermal and haematopoietic necrosis virus (IHHNV), </w:t>
      </w:r>
      <w:r w:rsidRPr="00A547B4">
        <w:rPr>
          <w:rFonts w:ascii="Söhne" w:eastAsia="Times New Roman" w:hAnsi="Söhne" w:cs="Times New Roman"/>
          <w:strike/>
          <w:sz w:val="18"/>
          <w:szCs w:val="18"/>
          <w:lang w:val="en-US" w:bidi="en-US"/>
        </w:rPr>
        <w:t xml:space="preserve">Family </w:t>
      </w:r>
      <w:r w:rsidRPr="00A547B4">
        <w:rPr>
          <w:rFonts w:ascii="Söhne" w:eastAsia="Times New Roman" w:hAnsi="Söhne" w:cs="Times New Roman"/>
          <w:i/>
          <w:iCs/>
          <w:strike/>
          <w:sz w:val="18"/>
          <w:szCs w:val="18"/>
          <w:lang w:val="en-US" w:bidi="en-US"/>
        </w:rPr>
        <w:t>Parvoviridae,</w:t>
      </w:r>
      <w:r w:rsidRPr="00A547B4">
        <w:rPr>
          <w:rFonts w:ascii="Söhne" w:eastAsia="Times New Roman" w:hAnsi="Söhne" w:cs="Times New Roman"/>
          <w:strike/>
          <w:sz w:val="18"/>
          <w:szCs w:val="18"/>
          <w:lang w:val="en-US" w:bidi="en-US"/>
        </w:rPr>
        <w:t xml:space="preserve"> </w:t>
      </w:r>
      <w:r w:rsidRPr="00A547B4">
        <w:rPr>
          <w:rFonts w:ascii="Söhne" w:eastAsia="MS Mincho" w:hAnsi="Söhne" w:cs="Times New Roman"/>
          <w:strike/>
          <w:sz w:val="18"/>
          <w:szCs w:val="18"/>
          <w:lang w:val="en-GB" w:bidi="en-US"/>
        </w:rPr>
        <w:t xml:space="preserve">subfamily </w:t>
      </w:r>
      <w:r w:rsidRPr="00A547B4">
        <w:rPr>
          <w:rFonts w:ascii="Söhne" w:eastAsia="Times New Roman" w:hAnsi="Söhne" w:cs="Times New Roman"/>
          <w:i/>
          <w:iCs/>
          <w:strike/>
          <w:sz w:val="18"/>
          <w:szCs w:val="18"/>
          <w:lang w:val="en-GB" w:bidi="en-US"/>
        </w:rPr>
        <w:t xml:space="preserve">Hamaparvovirinae, </w:t>
      </w:r>
      <w:r w:rsidRPr="00A547B4">
        <w:rPr>
          <w:rFonts w:ascii="Söhne" w:eastAsia="Times New Roman" w:hAnsi="Söhne" w:cs="Times New Roman"/>
          <w:strike/>
          <w:sz w:val="18"/>
          <w:szCs w:val="18"/>
          <w:lang w:val="en-IE" w:bidi="en-US"/>
        </w:rPr>
        <w:t xml:space="preserve">Genus </w:t>
      </w:r>
      <w:r w:rsidRPr="00A547B4">
        <w:rPr>
          <w:rFonts w:ascii="Söhne" w:eastAsia="Times New Roman" w:hAnsi="Söhne" w:cs="Times New Roman"/>
          <w:i/>
          <w:iCs/>
          <w:strike/>
          <w:sz w:val="18"/>
          <w:szCs w:val="18"/>
          <w:lang w:val="en-GB" w:bidi="en-US"/>
        </w:rPr>
        <w:t>Penstylhamaparvovirus</w:t>
      </w:r>
      <w:r w:rsidRPr="00A547B4">
        <w:rPr>
          <w:rFonts w:ascii="Söhne" w:eastAsia="Times New Roman" w:hAnsi="Söhne" w:cs="Times New Roman"/>
          <w:strike/>
          <w:sz w:val="18"/>
          <w:szCs w:val="18"/>
          <w:lang w:val="en-GB" w:bidi="en-US"/>
        </w:rPr>
        <w:t xml:space="preserve"> </w:t>
      </w:r>
      <w:r w:rsidRPr="00A547B4">
        <w:rPr>
          <w:rFonts w:ascii="Söhne" w:eastAsia="MS Mincho" w:hAnsi="Söhne" w:cs="Times New Roman"/>
          <w:strike/>
          <w:sz w:val="18"/>
          <w:szCs w:val="18"/>
          <w:lang w:val="en-GB" w:bidi="en-US"/>
        </w:rPr>
        <w:t>with IHHNV (</w:t>
      </w:r>
      <w:r w:rsidRPr="00A547B4">
        <w:rPr>
          <w:rFonts w:ascii="Söhne" w:eastAsia="Times New Roman" w:hAnsi="Söhne" w:cs="Times New Roman"/>
          <w:i/>
          <w:iCs/>
          <w:strike/>
          <w:sz w:val="18"/>
          <w:szCs w:val="18"/>
          <w:lang w:val="en-GB" w:bidi="en-US"/>
        </w:rPr>
        <w:t>Decapod penstylhamaparvovirus 1)</w:t>
      </w:r>
      <w:r w:rsidRPr="00A547B4">
        <w:rPr>
          <w:rFonts w:ascii="Söhne" w:eastAsia="MS Mincho" w:hAnsi="Söhne" w:cs="Times New Roman"/>
          <w:strike/>
          <w:sz w:val="18"/>
          <w:szCs w:val="18"/>
          <w:lang w:val="en-GB" w:bidi="en-US"/>
        </w:rPr>
        <w:t xml:space="preserve"> as the Type species (Penez </w:t>
      </w:r>
      <w:r w:rsidRPr="00A547B4">
        <w:rPr>
          <w:rFonts w:ascii="Söhne" w:eastAsia="MS Mincho" w:hAnsi="Söhne" w:cs="Times New Roman"/>
          <w:i/>
          <w:iCs/>
          <w:strike/>
          <w:sz w:val="18"/>
          <w:szCs w:val="18"/>
          <w:lang w:val="en-GB" w:bidi="en-US"/>
        </w:rPr>
        <w:t>et al.,</w:t>
      </w:r>
      <w:r w:rsidRPr="00A547B4">
        <w:rPr>
          <w:rFonts w:ascii="Söhne" w:eastAsia="MS Mincho" w:hAnsi="Söhne" w:cs="Times New Roman"/>
          <w:strike/>
          <w:sz w:val="18"/>
          <w:szCs w:val="18"/>
          <w:lang w:val="en-GB" w:bidi="en-US"/>
        </w:rPr>
        <w:t xml:space="preserve"> 2020)</w:t>
      </w:r>
      <w:r w:rsidRPr="00A547B4">
        <w:rPr>
          <w:rFonts w:ascii="Söhne" w:eastAsia="MS Mincho" w:hAnsi="Söhne" w:cs="Times New Roman"/>
          <w:sz w:val="18"/>
          <w:szCs w:val="18"/>
          <w:lang w:val="en-GB" w:bidi="en-US"/>
        </w:rPr>
        <w:t>.</w:t>
      </w:r>
    </w:p>
    <w:p w14:paraId="4F686521" w14:textId="77777777" w:rsidR="00983C95" w:rsidRPr="00A547B4" w:rsidRDefault="00983C95" w:rsidP="00983C95">
      <w:pPr>
        <w:widowControl w:val="0"/>
        <w:spacing w:after="240" w:line="240" w:lineRule="auto"/>
        <w:ind w:left="284" w:right="-6" w:hanging="284"/>
        <w:jc w:val="both"/>
        <w:rPr>
          <w:rFonts w:ascii="Söhne Kräftig" w:eastAsia="Arial" w:hAnsi="Söhne Kräftig" w:cs="Arial"/>
          <w:szCs w:val="18"/>
          <w:lang w:val="en-US" w:eastAsia="fr-FR"/>
        </w:rPr>
      </w:pPr>
      <w:r w:rsidRPr="00A547B4">
        <w:rPr>
          <w:rFonts w:ascii="Söhne Kräftig" w:eastAsia="Arial" w:hAnsi="Söhne Kräftig" w:cs="Arial"/>
          <w:szCs w:val="18"/>
          <w:lang w:val="en-US" w:eastAsia="fr-FR"/>
        </w:rPr>
        <w:t>2.</w:t>
      </w:r>
      <w:r w:rsidRPr="00A547B4">
        <w:rPr>
          <w:rFonts w:ascii="Söhne Kräftig" w:eastAsia="Arial" w:hAnsi="Söhne Kräftig" w:cs="Arial"/>
          <w:szCs w:val="18"/>
          <w:lang w:val="en-US" w:eastAsia="fr-FR"/>
        </w:rPr>
        <w:tab/>
        <w:t>Disease information</w:t>
      </w:r>
    </w:p>
    <w:p w14:paraId="72FC8DC2" w14:textId="77777777" w:rsidR="00983C95" w:rsidRPr="00A547B4" w:rsidRDefault="00983C95" w:rsidP="00983C95">
      <w:pPr>
        <w:spacing w:after="240" w:line="240" w:lineRule="auto"/>
        <w:ind w:left="851" w:hanging="567"/>
        <w:jc w:val="both"/>
        <w:rPr>
          <w:rFonts w:ascii="Söhne Kräftig" w:eastAsia="MS Mincho" w:hAnsi="Söhne Kräftig" w:cs="Times New Roman"/>
          <w:bCs/>
          <w:sz w:val="21"/>
          <w:szCs w:val="20"/>
          <w:lang w:val="da-DK" w:eastAsia="da-DK"/>
        </w:rPr>
      </w:pPr>
      <w:r w:rsidRPr="00A547B4">
        <w:rPr>
          <w:rFonts w:ascii="Söhne Kräftig" w:eastAsia="MS Mincho" w:hAnsi="Söhne Kräftig" w:cs="Times New Roman"/>
          <w:bCs/>
          <w:sz w:val="21"/>
          <w:szCs w:val="20"/>
          <w:lang w:val="da-DK" w:eastAsia="da-DK"/>
        </w:rPr>
        <w:t>2.1.</w:t>
      </w:r>
      <w:r w:rsidRPr="00A547B4">
        <w:rPr>
          <w:rFonts w:ascii="Söhne Kräftig" w:eastAsia="MS Mincho" w:hAnsi="Söhne Kräftig" w:cs="Times New Roman"/>
          <w:bCs/>
          <w:sz w:val="21"/>
          <w:szCs w:val="20"/>
          <w:lang w:val="da-DK" w:eastAsia="da-DK"/>
        </w:rPr>
        <w:tab/>
        <w:t>Agent factors</w:t>
      </w:r>
    </w:p>
    <w:p w14:paraId="5DD74575"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2.1.1.</w:t>
      </w:r>
      <w:r w:rsidRPr="00A547B4">
        <w:rPr>
          <w:rFonts w:ascii="Söhne Kräftig" w:eastAsia="Times New Roman" w:hAnsi="Söhne Kräftig" w:cs="Times New Roman"/>
          <w:bCs/>
          <w:sz w:val="20"/>
          <w:lang w:val="en-GB" w:eastAsia="fr-FR"/>
        </w:rPr>
        <w:tab/>
        <w:t>Aetiological agent</w:t>
      </w:r>
    </w:p>
    <w:p w14:paraId="26908E9E" w14:textId="77777777" w:rsidR="00983C95" w:rsidRPr="00A547B4" w:rsidRDefault="00983C95" w:rsidP="00983C95">
      <w:pPr>
        <w:spacing w:after="240" w:line="240" w:lineRule="auto"/>
        <w:ind w:left="851"/>
        <w:jc w:val="both"/>
        <w:rPr>
          <w:rFonts w:ascii="Courier New" w:eastAsia="Times New Roman" w:hAnsi="Courier New" w:cs="Courier New"/>
          <w:bCs/>
          <w:color w:val="000000"/>
          <w:sz w:val="20"/>
          <w:szCs w:val="20"/>
          <w:lang w:val="en-US"/>
        </w:rPr>
      </w:pPr>
      <w:r w:rsidRPr="00A547B4">
        <w:rPr>
          <w:rFonts w:ascii="Söhne" w:eastAsia="Times New Roman" w:hAnsi="Söhne" w:cs="Times New Roman"/>
          <w:bCs/>
          <w:sz w:val="18"/>
          <w:lang w:val="en-IE"/>
        </w:rPr>
        <w:t>IHHNV is the smallest of the known penaeid shrimp viruses. The virion is a 20–22 nm, non-enveloped icosahedron, with a density of 1.40 g ml</w:t>
      </w:r>
      <w:r w:rsidRPr="00A547B4">
        <w:rPr>
          <w:rFonts w:ascii="Söhne" w:eastAsia="Times New Roman" w:hAnsi="Söhne" w:cs="Times New Roman"/>
          <w:bCs/>
          <w:sz w:val="18"/>
          <w:szCs w:val="14"/>
          <w:vertAlign w:val="superscript"/>
          <w:lang w:val="en-IE"/>
        </w:rPr>
        <w:t>–1</w:t>
      </w:r>
      <w:r w:rsidRPr="00A547B4">
        <w:rPr>
          <w:rFonts w:ascii="Söhne" w:eastAsia="Times New Roman" w:hAnsi="Söhne" w:cs="Times New Roman"/>
          <w:bCs/>
          <w:sz w:val="18"/>
          <w:lang w:val="en-IE"/>
        </w:rPr>
        <w:t xml:space="preserve"> in CsCl that contains linear single-stranded DNA with an estimated size of 3.9 kb</w:t>
      </w:r>
      <w:r w:rsidRPr="00A547B4">
        <w:rPr>
          <w:rFonts w:ascii="Söhne" w:eastAsia="Times New Roman" w:hAnsi="Söhne" w:cs="Arial"/>
          <w:bCs/>
          <w:sz w:val="18"/>
          <w:szCs w:val="18"/>
          <w:lang w:val="en-IE"/>
        </w:rPr>
        <w:t xml:space="preserve"> </w:t>
      </w:r>
      <w:r w:rsidRPr="00A547B4">
        <w:rPr>
          <w:rFonts w:ascii="Söhne" w:eastAsia="Times New Roman" w:hAnsi="Söhne" w:cs="Arial"/>
          <w:bCs/>
          <w:sz w:val="18"/>
          <w:szCs w:val="18"/>
          <w:u w:val="double"/>
          <w:lang w:val="en-IE"/>
        </w:rPr>
        <w:t xml:space="preserve">(GenBank </w:t>
      </w:r>
      <w:r w:rsidRPr="00A547B4">
        <w:rPr>
          <w:rFonts w:ascii="Söhne" w:eastAsia="Times New Roman" w:hAnsi="Söhne" w:cs="Arial"/>
          <w:bCs/>
          <w:color w:val="000000"/>
          <w:sz w:val="18"/>
          <w:szCs w:val="18"/>
          <w:u w:val="double"/>
          <w:lang w:val="en-US"/>
        </w:rPr>
        <w:t>NC_002190)</w:t>
      </w:r>
      <w:r w:rsidRPr="00A547B4">
        <w:rPr>
          <w:rFonts w:ascii="Söhne" w:eastAsia="Times New Roman" w:hAnsi="Söhne" w:cs="Times New Roman"/>
          <w:bCs/>
          <w:sz w:val="18"/>
          <w:lang w:val="en-IE"/>
        </w:rPr>
        <w:t xml:space="preserve">, and has a capsid with four polypeptides of molecular weight 74, 47, 39, and 37.5 kD (Bonami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1990; Nunan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2000</w:t>
      </w:r>
      <w:r w:rsidRPr="00A547B4">
        <w:rPr>
          <w:rFonts w:ascii="Söhne" w:eastAsia="Times New Roman" w:hAnsi="Söhne" w:cs="Times New Roman"/>
          <w:bCs/>
          <w:strike/>
          <w:sz w:val="18"/>
          <w:lang w:val="en-IE"/>
        </w:rPr>
        <w:t xml:space="preserve">; </w:t>
      </w:r>
      <w:r w:rsidRPr="00A547B4">
        <w:rPr>
          <w:rFonts w:ascii="Söhne" w:eastAsia="Times New Roman" w:hAnsi="Söhne" w:cs="Arial"/>
          <w:bCs/>
          <w:strike/>
          <w:sz w:val="18"/>
          <w:szCs w:val="18"/>
          <w:lang w:val="en-IE"/>
        </w:rPr>
        <w:t xml:space="preserve">GenBank </w:t>
      </w:r>
      <w:r w:rsidRPr="00A547B4">
        <w:rPr>
          <w:rFonts w:ascii="Söhne" w:eastAsia="Times New Roman" w:hAnsi="Söhne" w:cs="Arial"/>
          <w:bCs/>
          <w:strike/>
          <w:color w:val="000000"/>
          <w:sz w:val="18"/>
          <w:szCs w:val="18"/>
          <w:lang w:val="en-US"/>
        </w:rPr>
        <w:t>NC_002190</w:t>
      </w:r>
      <w:r w:rsidRPr="00A547B4">
        <w:rPr>
          <w:rFonts w:ascii="Söhne" w:eastAsia="Times New Roman" w:hAnsi="Söhne" w:cs="Arial"/>
          <w:bCs/>
          <w:color w:val="000000"/>
          <w:sz w:val="18"/>
          <w:szCs w:val="18"/>
          <w:lang w:val="en-US"/>
        </w:rPr>
        <w:t>)</w:t>
      </w:r>
      <w:r w:rsidRPr="00A547B4">
        <w:rPr>
          <w:rFonts w:ascii="Courier New" w:eastAsia="Times New Roman" w:hAnsi="Courier New" w:cs="Courier New"/>
          <w:bCs/>
          <w:color w:val="000000"/>
          <w:sz w:val="20"/>
          <w:szCs w:val="20"/>
          <w:lang w:val="en-US"/>
        </w:rPr>
        <w:t>.</w:t>
      </w:r>
    </w:p>
    <w:p w14:paraId="12BC1992"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At least two distinct genotypes of IHHNV have been identified (Tang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2003): Type 1 is from the Americas and </w:t>
      </w:r>
      <w:r w:rsidRPr="00A547B4">
        <w:rPr>
          <w:rFonts w:ascii="Söhne" w:eastAsia="Times New Roman" w:hAnsi="Söhne" w:cs="Times New Roman"/>
          <w:bCs/>
          <w:sz w:val="18"/>
          <w:u w:val="double"/>
          <w:lang w:val="en-IE"/>
        </w:rPr>
        <w:t>South-</w:t>
      </w:r>
      <w:r w:rsidRPr="00A547B4">
        <w:rPr>
          <w:rFonts w:ascii="Söhne" w:eastAsia="Times New Roman" w:hAnsi="Söhne" w:cs="Times New Roman"/>
          <w:bCs/>
          <w:sz w:val="18"/>
          <w:lang w:val="en-IE"/>
        </w:rPr>
        <w:t xml:space="preserve">East Asia (principally the Philippines) and Type 2 is from South-East Asia. These genotypes </w:t>
      </w:r>
      <w:r w:rsidRPr="00A547B4">
        <w:rPr>
          <w:rFonts w:ascii="Söhne" w:eastAsia="Times New Roman" w:hAnsi="Söhne" w:cs="Times New Roman"/>
          <w:bCs/>
          <w:sz w:val="18"/>
          <w:u w:val="double"/>
          <w:lang w:val="en-IE"/>
        </w:rPr>
        <w:t>were shown to be</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strike/>
          <w:sz w:val="18"/>
          <w:lang w:val="en-IE"/>
        </w:rPr>
        <w:t xml:space="preserve">are </w:t>
      </w:r>
      <w:r w:rsidRPr="00A547B4">
        <w:rPr>
          <w:rFonts w:ascii="Söhne" w:eastAsia="Times New Roman" w:hAnsi="Söhne" w:cs="Times New Roman"/>
          <w:bCs/>
          <w:sz w:val="18"/>
          <w:lang w:val="en-IE"/>
        </w:rPr>
        <w:t xml:space="preserve">infectious to </w:t>
      </w:r>
      <w:r w:rsidRPr="00A547B4">
        <w:rPr>
          <w:rFonts w:ascii="Söhne" w:eastAsia="Times New Roman" w:hAnsi="Söhne" w:cs="Times New Roman"/>
          <w:bCs/>
          <w:i/>
          <w:iCs/>
          <w:sz w:val="18"/>
          <w:lang w:val="en-GB"/>
        </w:rPr>
        <w:t>Penaeus</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i/>
          <w:sz w:val="18"/>
          <w:lang w:val="en-IE"/>
        </w:rPr>
        <w:t>vannamei</w:t>
      </w:r>
      <w:r w:rsidRPr="00A547B4">
        <w:rPr>
          <w:rFonts w:ascii="Söhne" w:eastAsia="Times New Roman" w:hAnsi="Söhne" w:cs="Times New Roman"/>
          <w:bCs/>
          <w:sz w:val="18"/>
          <w:lang w:val="en-IE"/>
        </w:rPr>
        <w:t xml:space="preserve"> and </w:t>
      </w:r>
      <w:r w:rsidRPr="00A547B4">
        <w:rPr>
          <w:rFonts w:ascii="Söhne" w:eastAsia="Times New Roman" w:hAnsi="Söhne" w:cs="Times New Roman"/>
          <w:bCs/>
          <w:i/>
          <w:sz w:val="18"/>
          <w:lang w:val="en-IE"/>
        </w:rPr>
        <w:t>P.</w:t>
      </w:r>
      <w:r w:rsidRPr="00A547B4">
        <w:rPr>
          <w:rFonts w:ascii="Söhne" w:eastAsia="Times New Roman" w:hAnsi="Söhne" w:cs="Times New Roman"/>
          <w:bCs/>
          <w:sz w:val="18"/>
          <w:lang w:val="en-IE"/>
        </w:rPr>
        <w:t> </w:t>
      </w:r>
      <w:r w:rsidRPr="00A547B4">
        <w:rPr>
          <w:rFonts w:ascii="Söhne" w:eastAsia="Times New Roman" w:hAnsi="Söhne" w:cs="Times New Roman"/>
          <w:bCs/>
          <w:i/>
          <w:sz w:val="18"/>
          <w:lang w:val="en-IE"/>
        </w:rPr>
        <w:t xml:space="preserve">monodon </w:t>
      </w:r>
      <w:r w:rsidRPr="00A547B4">
        <w:rPr>
          <w:rFonts w:ascii="Söhne" w:eastAsia="Times New Roman" w:hAnsi="Söhne" w:cs="Times New Roman"/>
          <w:bCs/>
          <w:iCs/>
          <w:sz w:val="18"/>
          <w:u w:val="double"/>
          <w:lang w:val="en-IE"/>
        </w:rPr>
        <w:t xml:space="preserve">(Tang </w:t>
      </w:r>
      <w:r w:rsidRPr="00A547B4">
        <w:rPr>
          <w:rFonts w:ascii="Söhne" w:eastAsia="Times New Roman" w:hAnsi="Söhne" w:cs="Times New Roman"/>
          <w:bCs/>
          <w:i/>
          <w:sz w:val="18"/>
          <w:u w:val="double"/>
          <w:lang w:val="en-IE"/>
        </w:rPr>
        <w:t>et al.,</w:t>
      </w:r>
      <w:r w:rsidRPr="00A547B4">
        <w:rPr>
          <w:rFonts w:ascii="Söhne" w:eastAsia="Times New Roman" w:hAnsi="Söhne" w:cs="Times New Roman"/>
          <w:bCs/>
          <w:iCs/>
          <w:sz w:val="18"/>
          <w:u w:val="double"/>
          <w:lang w:val="en-IE"/>
        </w:rPr>
        <w:t xml:space="preserve"> 2003)</w:t>
      </w:r>
      <w:r w:rsidRPr="00A547B4">
        <w:rPr>
          <w:rFonts w:ascii="Söhne" w:eastAsia="Times New Roman" w:hAnsi="Söhne" w:cs="Times New Roman"/>
          <w:bCs/>
          <w:iCs/>
          <w:sz w:val="18"/>
          <w:u w:val="single"/>
          <w:lang w:val="en-IE"/>
        </w:rPr>
        <w:t>.</w:t>
      </w:r>
      <w:r w:rsidRPr="00A547B4">
        <w:rPr>
          <w:rFonts w:ascii="Söhne" w:eastAsia="Times New Roman" w:hAnsi="Söhne" w:cs="Times New Roman"/>
          <w:bCs/>
          <w:sz w:val="18"/>
          <w:lang w:val="en-IE"/>
        </w:rPr>
        <w:t xml:space="preserve"> </w:t>
      </w:r>
      <w:r w:rsidRPr="00A547B4">
        <w:rPr>
          <w:rFonts w:ascii="Söhne" w:eastAsia="FangSong" w:hAnsi="Söhne"/>
          <w:bCs/>
          <w:sz w:val="18"/>
          <w:highlight w:val="yellow"/>
          <w:u w:val="double"/>
          <w:lang w:val="en-IE"/>
        </w:rPr>
        <w:t xml:space="preserve">IHHNV genotypes in Ecuador and Peru were found to be within a separate lineage of IHHNV type 2 genotypes circulating within these countries (Aranguen Caro </w:t>
      </w:r>
      <w:r w:rsidRPr="00A547B4">
        <w:rPr>
          <w:rFonts w:ascii="Söhne" w:eastAsia="FangSong" w:hAnsi="Söhne"/>
          <w:bCs/>
          <w:i/>
          <w:iCs/>
          <w:sz w:val="18"/>
          <w:highlight w:val="yellow"/>
          <w:u w:val="double"/>
          <w:lang w:val="en-IE"/>
        </w:rPr>
        <w:t>et al.,</w:t>
      </w:r>
      <w:r w:rsidRPr="00A547B4">
        <w:rPr>
          <w:rFonts w:ascii="Söhne" w:eastAsia="FangSong" w:hAnsi="Söhne"/>
          <w:bCs/>
          <w:sz w:val="18"/>
          <w:highlight w:val="yellow"/>
          <w:u w:val="double"/>
          <w:lang w:val="en-IE"/>
        </w:rPr>
        <w:t xml:space="preserve"> 2022).</w:t>
      </w:r>
      <w:r w:rsidRPr="00A547B4">
        <w:rPr>
          <w:rFonts w:ascii="Söhne" w:eastAsia="FangSong" w:hAnsi="Söhne"/>
          <w:bCs/>
          <w:sz w:val="18"/>
          <w:lang w:val="en-IE"/>
        </w:rPr>
        <w:t xml:space="preserve"> </w:t>
      </w:r>
      <w:r w:rsidRPr="00A547B4">
        <w:rPr>
          <w:rFonts w:ascii="Söhne" w:eastAsia="Times New Roman" w:hAnsi="Söhne" w:cs="Times New Roman"/>
          <w:bCs/>
          <w:sz w:val="18"/>
          <w:lang w:val="en-IE"/>
        </w:rPr>
        <w:t xml:space="preserve">Two sequences homologous to part of the IHHNV genome are found embedded in the genome of penaeids. These were initially described as Type 3A from East Africa, India and Australia, and Type 3B from the western Indo-Pacific region including Madagascar, Mauritius and Tanzania (Tang &amp; Lightner, 2006; Tang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2007). Tissues containing the IHHNV-homologous sequences (also known as endogenous viral elements; Taengchaiyaphum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2021) in the </w:t>
      </w:r>
      <w:r w:rsidRPr="00A547B4">
        <w:rPr>
          <w:rFonts w:ascii="Söhne" w:eastAsia="Times New Roman" w:hAnsi="Söhne" w:cs="Times New Roman"/>
          <w:bCs/>
          <w:i/>
          <w:sz w:val="18"/>
          <w:lang w:val="en-IE"/>
        </w:rPr>
        <w:t>P.</w:t>
      </w:r>
      <w:r w:rsidRPr="00A547B4">
        <w:rPr>
          <w:rFonts w:ascii="Söhne" w:eastAsia="Times New Roman" w:hAnsi="Söhne" w:cs="Times New Roman"/>
          <w:bCs/>
          <w:sz w:val="18"/>
          <w:lang w:val="en-IE"/>
        </w:rPr>
        <w:t> </w:t>
      </w:r>
      <w:r w:rsidRPr="00A547B4">
        <w:rPr>
          <w:rFonts w:ascii="Söhne" w:eastAsia="Times New Roman" w:hAnsi="Söhne" w:cs="Times New Roman"/>
          <w:bCs/>
          <w:i/>
          <w:sz w:val="18"/>
          <w:lang w:val="en-IE"/>
        </w:rPr>
        <w:t>monodon</w:t>
      </w:r>
      <w:r w:rsidRPr="00A547B4">
        <w:rPr>
          <w:rFonts w:ascii="Söhne" w:eastAsia="Times New Roman" w:hAnsi="Söhne" w:cs="Times New Roman"/>
          <w:bCs/>
          <w:sz w:val="18"/>
          <w:lang w:val="en-IE"/>
        </w:rPr>
        <w:t xml:space="preserve"> genome are not infectious to susceptible host species (Lightner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2009; Tang &amp; Lightner, 2006; Tang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2007). </w:t>
      </w:r>
    </w:p>
    <w:p w14:paraId="552DA52B"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2.1.2.</w:t>
      </w:r>
      <w:r w:rsidRPr="00A547B4">
        <w:rPr>
          <w:rFonts w:ascii="Söhne Kräftig" w:eastAsia="Times New Roman" w:hAnsi="Söhne Kräftig" w:cs="Times New Roman"/>
          <w:bCs/>
          <w:sz w:val="20"/>
          <w:lang w:val="en-GB" w:eastAsia="fr-FR"/>
        </w:rPr>
        <w:tab/>
        <w:t>Survival and stability in processed or stored samples</w:t>
      </w:r>
    </w:p>
    <w:p w14:paraId="53264620" w14:textId="77777777" w:rsidR="00983C95" w:rsidRPr="00A547B4" w:rsidRDefault="00983C95" w:rsidP="00983C95">
      <w:pPr>
        <w:spacing w:after="240" w:line="240" w:lineRule="auto"/>
        <w:ind w:left="851"/>
        <w:jc w:val="both"/>
        <w:rPr>
          <w:rFonts w:ascii="Söhne" w:eastAsia="Yu Mincho" w:hAnsi="Söhne" w:cs="Times New Roman"/>
          <w:bCs/>
          <w:sz w:val="18"/>
          <w:lang w:val="en-IE" w:eastAsia="zh-CN"/>
        </w:rPr>
      </w:pPr>
      <w:r w:rsidRPr="00A547B4">
        <w:rPr>
          <w:rFonts w:ascii="Söhne" w:eastAsia="Yu Mincho" w:hAnsi="Söhne" w:cs="Times New Roman" w:hint="eastAsia"/>
          <w:bCs/>
          <w:sz w:val="18"/>
          <w:lang w:val="en-IE" w:eastAsia="zh-CN"/>
        </w:rPr>
        <w:t>I</w:t>
      </w:r>
      <w:r w:rsidRPr="00A547B4">
        <w:rPr>
          <w:rFonts w:ascii="Söhne" w:eastAsia="Yu Mincho" w:hAnsi="Söhne" w:cs="Times New Roman"/>
          <w:bCs/>
          <w:sz w:val="18"/>
          <w:lang w:val="en-IE" w:eastAsia="zh-CN"/>
        </w:rPr>
        <w:t xml:space="preserve">HHNV is believed to be the most stable virus of the known penaeid shrimp viruses. Infected tissues remain infectious after repeated cycles of freeze–thawing and after storage in 50% glycerine (Lightner, 1996; Lightner </w:t>
      </w:r>
      <w:r w:rsidRPr="00A547B4">
        <w:rPr>
          <w:rFonts w:ascii="Söhne" w:eastAsia="Yu Mincho" w:hAnsi="Söhne" w:cs="Times New Roman"/>
          <w:bCs/>
          <w:i/>
          <w:iCs/>
          <w:sz w:val="18"/>
          <w:lang w:val="en-IE" w:eastAsia="zh-CN"/>
        </w:rPr>
        <w:t>et al.,</w:t>
      </w:r>
      <w:r w:rsidRPr="00A547B4">
        <w:rPr>
          <w:rFonts w:ascii="Söhne" w:eastAsia="Yu Mincho" w:hAnsi="Söhne" w:cs="Times New Roman"/>
          <w:bCs/>
          <w:sz w:val="18"/>
          <w:lang w:val="en-IE" w:eastAsia="zh-CN"/>
        </w:rPr>
        <w:t xml:space="preserve"> 1987; Lightner </w:t>
      </w:r>
      <w:r w:rsidRPr="00A547B4">
        <w:rPr>
          <w:rFonts w:ascii="Söhne" w:eastAsia="Yu Mincho" w:hAnsi="Söhne" w:cs="Times New Roman"/>
          <w:bCs/>
          <w:i/>
          <w:iCs/>
          <w:sz w:val="18"/>
          <w:lang w:val="en-IE" w:eastAsia="zh-CN"/>
        </w:rPr>
        <w:t>et al.,</w:t>
      </w:r>
      <w:r w:rsidRPr="00A547B4">
        <w:rPr>
          <w:rFonts w:ascii="Söhne" w:eastAsia="Yu Mincho" w:hAnsi="Söhne" w:cs="Times New Roman"/>
          <w:bCs/>
          <w:sz w:val="18"/>
          <w:lang w:val="en-IE" w:eastAsia="zh-CN"/>
        </w:rPr>
        <w:t xml:space="preserve"> 2009).</w:t>
      </w:r>
    </w:p>
    <w:p w14:paraId="7E5D1BDA"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2.1.3.</w:t>
      </w:r>
      <w:r w:rsidRPr="00A547B4">
        <w:rPr>
          <w:rFonts w:ascii="Söhne Kräftig" w:eastAsia="Times New Roman" w:hAnsi="Söhne Kräftig" w:cs="Times New Roman"/>
          <w:bCs/>
          <w:sz w:val="20"/>
          <w:lang w:val="en-GB" w:eastAsia="fr-FR"/>
        </w:rPr>
        <w:tab/>
        <w:t xml:space="preserve">Survival and stability outside the host </w:t>
      </w:r>
    </w:p>
    <w:p w14:paraId="55027F6B"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No data.</w:t>
      </w:r>
    </w:p>
    <w:p w14:paraId="5BDF0436" w14:textId="77777777" w:rsidR="00983C95" w:rsidRPr="00A547B4" w:rsidRDefault="00983C95" w:rsidP="00983C95">
      <w:pPr>
        <w:spacing w:after="240" w:line="240" w:lineRule="auto"/>
        <w:ind w:left="851"/>
        <w:jc w:val="both"/>
        <w:rPr>
          <w:rFonts w:ascii="Söhne" w:eastAsia="Times New Roman" w:hAnsi="Söhne" w:cs="Arial"/>
          <w:bCs/>
          <w:sz w:val="18"/>
          <w:lang w:val="en-IE"/>
        </w:rPr>
      </w:pPr>
      <w:r w:rsidRPr="00A547B4">
        <w:rPr>
          <w:rFonts w:ascii="Söhne" w:eastAsia="Times New Roman" w:hAnsi="Söhne" w:cs="Arial"/>
          <w:bCs/>
          <w:sz w:val="18"/>
          <w:lang w:val="en-IE"/>
        </w:rPr>
        <w:t>For inactivation methods, see Section 2.4.5.</w:t>
      </w:r>
    </w:p>
    <w:p w14:paraId="15B16B61"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lastRenderedPageBreak/>
        <w:t>2.2.</w:t>
      </w:r>
      <w:r w:rsidRPr="00A547B4">
        <w:rPr>
          <w:rFonts w:ascii="Söhne Kräftig" w:eastAsia="MS Mincho" w:hAnsi="Söhne Kräftig" w:cs="Times New Roman"/>
          <w:sz w:val="21"/>
          <w:szCs w:val="20"/>
          <w:lang w:val="da-DK" w:eastAsia="da-DK"/>
        </w:rPr>
        <w:tab/>
        <w:t>Host factors</w:t>
      </w:r>
    </w:p>
    <w:p w14:paraId="527120F5"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2.2.1.</w:t>
      </w:r>
      <w:r w:rsidRPr="00A547B4">
        <w:rPr>
          <w:rFonts w:ascii="Söhne Kräftig" w:eastAsia="Times New Roman" w:hAnsi="Söhne Kräftig" w:cs="Times New Roman"/>
          <w:bCs/>
          <w:sz w:val="20"/>
          <w:lang w:val="en-GB" w:eastAsia="fr-FR"/>
        </w:rPr>
        <w:tab/>
        <w:t xml:space="preserve">Susceptible host species </w:t>
      </w:r>
    </w:p>
    <w:p w14:paraId="590A4419" w14:textId="77777777" w:rsidR="00983C95" w:rsidRPr="00A547B4" w:rsidRDefault="00983C95" w:rsidP="00983C95">
      <w:pPr>
        <w:spacing w:after="240" w:line="240" w:lineRule="auto"/>
        <w:ind w:left="851"/>
        <w:jc w:val="both"/>
        <w:rPr>
          <w:rFonts w:ascii="Söhne" w:eastAsia="Times New Roman" w:hAnsi="Söhne" w:cs="Times New Roman"/>
          <w:bCs/>
          <w:sz w:val="18"/>
          <w:lang w:val="en" w:eastAsia="fr-FR"/>
        </w:rPr>
      </w:pPr>
      <w:r w:rsidRPr="00A547B4">
        <w:rPr>
          <w:rFonts w:ascii="Söhne" w:eastAsia="Times New Roman" w:hAnsi="Söhne" w:cs="Times New Roman"/>
          <w:bCs/>
          <w:sz w:val="18"/>
          <w:lang w:val="en-IE"/>
        </w:rPr>
        <w:t xml:space="preserve">Species that fulfil the criteria for </w:t>
      </w:r>
      <w:r w:rsidRPr="00A547B4">
        <w:rPr>
          <w:rFonts w:ascii="Söhne" w:eastAsia="Times New Roman" w:hAnsi="Söhne" w:cs="Times New Roman"/>
          <w:bCs/>
          <w:sz w:val="18"/>
          <w:szCs w:val="24"/>
          <w:lang w:val="en-IE"/>
        </w:rPr>
        <w:t xml:space="preserve">listing as susceptible to infection with IHHNV according to Chapter 1.5 of </w:t>
      </w:r>
      <w:r w:rsidRPr="00A547B4">
        <w:rPr>
          <w:rFonts w:ascii="Söhne" w:eastAsia="Times New Roman" w:hAnsi="Söhne" w:cs="Times New Roman"/>
          <w:bCs/>
          <w:i/>
          <w:iCs/>
          <w:sz w:val="18"/>
          <w:szCs w:val="24"/>
          <w:lang w:val="en-IE"/>
        </w:rPr>
        <w:t>Aquatic Animal Health Code</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i/>
          <w:iCs/>
          <w:sz w:val="18"/>
          <w:szCs w:val="24"/>
          <w:lang w:val="en-IE"/>
        </w:rPr>
        <w:t>Aquatic Code</w:t>
      </w:r>
      <w:r w:rsidRPr="00A547B4">
        <w:rPr>
          <w:rFonts w:ascii="Söhne" w:eastAsia="Times New Roman" w:hAnsi="Söhne" w:cs="Times New Roman"/>
          <w:bCs/>
          <w:sz w:val="18"/>
          <w:lang w:val="en-IE"/>
        </w:rPr>
        <w:t xml:space="preserve">) are: </w:t>
      </w:r>
      <w:r w:rsidRPr="00A547B4">
        <w:rPr>
          <w:rFonts w:ascii="Söhne" w:eastAsia="Times New Roman" w:hAnsi="Söhne" w:cs="Times New Roman"/>
          <w:bCs/>
          <w:iCs/>
          <w:sz w:val="18"/>
          <w:lang w:val="en" w:eastAsia="fr-FR"/>
        </w:rPr>
        <w:t>yellowleg shrimp (</w:t>
      </w:r>
      <w:r w:rsidRPr="00A547B4">
        <w:rPr>
          <w:rFonts w:ascii="Söhne" w:eastAsia="Times New Roman" w:hAnsi="Söhne" w:cs="Times New Roman"/>
          <w:bCs/>
          <w:i/>
          <w:sz w:val="18"/>
          <w:lang w:val="en-US"/>
        </w:rPr>
        <w:t>Penaeus californiensis</w:t>
      </w:r>
      <w:r w:rsidRPr="00A547B4">
        <w:rPr>
          <w:rFonts w:ascii="Söhne" w:eastAsia="Times New Roman" w:hAnsi="Söhne" w:cs="Times New Roman"/>
          <w:bCs/>
          <w:sz w:val="18"/>
          <w:lang w:val="en-US"/>
        </w:rPr>
        <w:t>)</w:t>
      </w:r>
      <w:r w:rsidRPr="00A547B4">
        <w:rPr>
          <w:rFonts w:ascii="Söhne" w:eastAsia="Times New Roman" w:hAnsi="Söhne" w:cs="Times New Roman"/>
          <w:bCs/>
          <w:i/>
          <w:sz w:val="18"/>
          <w:lang w:val="en-US"/>
        </w:rPr>
        <w:t xml:space="preserve">, </w:t>
      </w:r>
      <w:r w:rsidRPr="00A547B4">
        <w:rPr>
          <w:rFonts w:ascii="Söhne" w:eastAsia="Times New Roman" w:hAnsi="Söhne" w:cs="Times New Roman"/>
          <w:bCs/>
          <w:sz w:val="18"/>
          <w:lang w:val="en" w:eastAsia="fr-FR"/>
        </w:rPr>
        <w:t xml:space="preserve">giant tiger prawn </w:t>
      </w:r>
      <w:r w:rsidRPr="00A547B4">
        <w:rPr>
          <w:rFonts w:ascii="Söhne" w:eastAsia="Times New Roman" w:hAnsi="Söhne" w:cs="Times New Roman"/>
          <w:bCs/>
          <w:iCs/>
          <w:sz w:val="18"/>
          <w:lang w:val="en" w:eastAsia="fr-FR"/>
        </w:rPr>
        <w:t>(</w:t>
      </w:r>
      <w:r w:rsidRPr="00A547B4">
        <w:rPr>
          <w:rFonts w:ascii="Söhne" w:eastAsia="Times New Roman" w:hAnsi="Söhne" w:cs="Times New Roman"/>
          <w:bCs/>
          <w:i/>
          <w:sz w:val="18"/>
          <w:lang w:val="en-US"/>
        </w:rPr>
        <w:t xml:space="preserve">Penaeus </w:t>
      </w:r>
      <w:r w:rsidRPr="00A547B4">
        <w:rPr>
          <w:rFonts w:ascii="Söhne" w:eastAsia="Times New Roman" w:hAnsi="Söhne" w:cs="Times New Roman"/>
          <w:bCs/>
          <w:i/>
          <w:iCs/>
          <w:sz w:val="18"/>
          <w:lang w:val="en" w:eastAsia="fr-FR"/>
        </w:rPr>
        <w:t>monodon</w:t>
      </w:r>
      <w:r w:rsidRPr="00A547B4">
        <w:rPr>
          <w:rFonts w:ascii="Söhne" w:eastAsia="Times New Roman" w:hAnsi="Söhne" w:cs="Times New Roman"/>
          <w:bCs/>
          <w:iCs/>
          <w:sz w:val="18"/>
          <w:lang w:val="en" w:eastAsia="fr-FR"/>
        </w:rPr>
        <w:t>)</w:t>
      </w:r>
      <w:r w:rsidRPr="00A547B4">
        <w:rPr>
          <w:rFonts w:ascii="Söhne" w:eastAsia="Times New Roman" w:hAnsi="Söhne" w:cs="Times New Roman"/>
          <w:bCs/>
          <w:sz w:val="18"/>
          <w:lang w:val="en" w:eastAsia="fr-FR"/>
        </w:rPr>
        <w:t xml:space="preserve">, </w:t>
      </w:r>
      <w:r w:rsidRPr="00A547B4">
        <w:rPr>
          <w:rFonts w:ascii="Söhne" w:eastAsia="Times New Roman" w:hAnsi="Söhne" w:cs="Times New Roman"/>
          <w:bCs/>
          <w:sz w:val="18"/>
          <w:lang w:val="en-US"/>
        </w:rPr>
        <w:t>northern</w:t>
      </w:r>
      <w:r w:rsidRPr="00A547B4">
        <w:rPr>
          <w:rFonts w:ascii="Söhne" w:eastAsia="Times New Roman" w:hAnsi="Söhne" w:cs="Times New Roman"/>
          <w:bCs/>
          <w:i/>
          <w:sz w:val="18"/>
          <w:lang w:val="en-US"/>
        </w:rPr>
        <w:t xml:space="preserve"> </w:t>
      </w:r>
      <w:r w:rsidRPr="00A547B4">
        <w:rPr>
          <w:rFonts w:ascii="Söhne" w:eastAsia="Times New Roman" w:hAnsi="Söhne" w:cs="Times New Roman"/>
          <w:bCs/>
          <w:sz w:val="18"/>
          <w:lang w:val="en-US"/>
        </w:rPr>
        <w:t>white shrimp (</w:t>
      </w:r>
      <w:r w:rsidRPr="00A547B4">
        <w:rPr>
          <w:rFonts w:ascii="Söhne" w:eastAsia="Times New Roman" w:hAnsi="Söhne" w:cs="Times New Roman"/>
          <w:bCs/>
          <w:i/>
          <w:sz w:val="18"/>
          <w:lang w:val="en-US"/>
        </w:rPr>
        <w:t>Penaeus setiferus</w:t>
      </w:r>
      <w:r w:rsidRPr="00A547B4">
        <w:rPr>
          <w:rFonts w:ascii="Söhne" w:eastAsia="Times New Roman" w:hAnsi="Söhne" w:cs="Times New Roman"/>
          <w:bCs/>
          <w:sz w:val="18"/>
          <w:lang w:val="en-US"/>
        </w:rPr>
        <w:t>),</w:t>
      </w:r>
      <w:r w:rsidRPr="00A547B4">
        <w:rPr>
          <w:rFonts w:ascii="Söhne" w:eastAsia="Times New Roman" w:hAnsi="Söhne" w:cs="Times New Roman"/>
          <w:bCs/>
          <w:i/>
          <w:sz w:val="18"/>
          <w:lang w:val="en-US"/>
        </w:rPr>
        <w:t xml:space="preserve"> </w:t>
      </w:r>
      <w:r w:rsidRPr="00A547B4">
        <w:rPr>
          <w:rFonts w:ascii="Söhne" w:eastAsia="Times New Roman" w:hAnsi="Söhne" w:cs="Times New Roman"/>
          <w:bCs/>
          <w:sz w:val="18"/>
          <w:lang w:val="en" w:eastAsia="fr-FR"/>
        </w:rPr>
        <w:t xml:space="preserve">blue shrimp </w:t>
      </w:r>
      <w:r w:rsidRPr="00A547B4">
        <w:rPr>
          <w:rFonts w:ascii="Söhne" w:eastAsia="Times New Roman" w:hAnsi="Söhne" w:cs="Times New Roman"/>
          <w:bCs/>
          <w:iCs/>
          <w:sz w:val="18"/>
          <w:lang w:val="en" w:eastAsia="fr-FR"/>
        </w:rPr>
        <w:t>(</w:t>
      </w:r>
      <w:r w:rsidRPr="00A547B4">
        <w:rPr>
          <w:rFonts w:ascii="Söhne" w:eastAsia="Times New Roman" w:hAnsi="Söhne" w:cs="Times New Roman"/>
          <w:bCs/>
          <w:i/>
          <w:sz w:val="18"/>
          <w:lang w:val="en-US"/>
        </w:rPr>
        <w:t xml:space="preserve">Penaeus </w:t>
      </w:r>
      <w:r w:rsidRPr="00A547B4">
        <w:rPr>
          <w:rFonts w:ascii="Söhne" w:eastAsia="Times New Roman" w:hAnsi="Söhne" w:cs="Times New Roman"/>
          <w:bCs/>
          <w:i/>
          <w:iCs/>
          <w:sz w:val="18"/>
          <w:lang w:val="en" w:eastAsia="fr-FR"/>
        </w:rPr>
        <w:t>stylirostris</w:t>
      </w:r>
      <w:r w:rsidRPr="00A547B4">
        <w:rPr>
          <w:rFonts w:ascii="Söhne" w:eastAsia="Times New Roman" w:hAnsi="Söhne" w:cs="Times New Roman"/>
          <w:bCs/>
          <w:iCs/>
          <w:sz w:val="18"/>
          <w:lang w:val="en" w:eastAsia="fr-FR"/>
        </w:rPr>
        <w:t>)</w:t>
      </w:r>
      <w:r w:rsidRPr="00A547B4">
        <w:rPr>
          <w:rFonts w:ascii="Söhne" w:eastAsia="Times New Roman" w:hAnsi="Söhne" w:cs="Times New Roman"/>
          <w:bCs/>
          <w:i/>
          <w:iCs/>
          <w:sz w:val="18"/>
          <w:lang w:val="en" w:eastAsia="fr-FR"/>
        </w:rPr>
        <w:t xml:space="preserve">, </w:t>
      </w:r>
      <w:r w:rsidRPr="00A547B4">
        <w:rPr>
          <w:rFonts w:ascii="Söhne" w:eastAsia="Times New Roman" w:hAnsi="Söhne" w:cs="Times New Roman"/>
          <w:bCs/>
          <w:sz w:val="18"/>
          <w:lang w:val="en-US"/>
        </w:rPr>
        <w:t>and</w:t>
      </w:r>
      <w:r w:rsidRPr="00A547B4">
        <w:rPr>
          <w:rFonts w:ascii="Söhne" w:eastAsia="Times New Roman" w:hAnsi="Söhne" w:cs="Times New Roman"/>
          <w:bCs/>
          <w:sz w:val="18"/>
          <w:lang w:val="en" w:eastAsia="fr-FR"/>
        </w:rPr>
        <w:t xml:space="preserve"> white leg shrimp </w:t>
      </w:r>
      <w:r w:rsidRPr="00A547B4">
        <w:rPr>
          <w:rFonts w:ascii="Söhne" w:eastAsia="Times New Roman" w:hAnsi="Söhne" w:cs="Times New Roman"/>
          <w:bCs/>
          <w:iCs/>
          <w:sz w:val="18"/>
          <w:lang w:val="en" w:eastAsia="fr-FR"/>
        </w:rPr>
        <w:t>(</w:t>
      </w:r>
      <w:r w:rsidRPr="00A547B4">
        <w:rPr>
          <w:rFonts w:ascii="Söhne" w:eastAsia="Times New Roman" w:hAnsi="Söhne" w:cs="Times New Roman"/>
          <w:bCs/>
          <w:i/>
          <w:sz w:val="18"/>
          <w:lang w:val="en-US"/>
        </w:rPr>
        <w:t xml:space="preserve">Penaeus </w:t>
      </w:r>
      <w:r w:rsidRPr="00A547B4">
        <w:rPr>
          <w:rFonts w:ascii="Söhne" w:eastAsia="Times New Roman" w:hAnsi="Söhne" w:cs="Times New Roman"/>
          <w:bCs/>
          <w:i/>
          <w:iCs/>
          <w:sz w:val="18"/>
          <w:lang w:val="en" w:eastAsia="fr-FR"/>
        </w:rPr>
        <w:t>vannamei</w:t>
      </w:r>
      <w:r w:rsidRPr="00A547B4">
        <w:rPr>
          <w:rFonts w:ascii="Söhne" w:eastAsia="Times New Roman" w:hAnsi="Söhne" w:cs="Times New Roman"/>
          <w:bCs/>
          <w:iCs/>
          <w:sz w:val="18"/>
          <w:lang w:val="en" w:eastAsia="fr-FR"/>
        </w:rPr>
        <w:t>).</w:t>
      </w:r>
    </w:p>
    <w:p w14:paraId="79E35EE7"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2.2.2.</w:t>
      </w:r>
      <w:r w:rsidRPr="00A547B4">
        <w:rPr>
          <w:rFonts w:ascii="Söhne Kräftig" w:eastAsia="Times New Roman" w:hAnsi="Söhne Kräftig" w:cs="Times New Roman"/>
          <w:bCs/>
          <w:sz w:val="20"/>
          <w:lang w:val="en-GB" w:eastAsia="fr-FR"/>
        </w:rPr>
        <w:tab/>
        <w:t>Species with incomplete evidence for susceptibility</w:t>
      </w:r>
    </w:p>
    <w:p w14:paraId="22BCAC5F"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Species for which there is incomplete evidence to fulfil the criteria for listing as susceptible to infection with IHHNV according to Chapter 1.5 of the </w:t>
      </w:r>
      <w:r w:rsidRPr="00A547B4">
        <w:rPr>
          <w:rFonts w:ascii="Söhne" w:eastAsia="Times New Roman" w:hAnsi="Söhne" w:cs="Times New Roman"/>
          <w:bCs/>
          <w:i/>
          <w:sz w:val="18"/>
          <w:lang w:val="en-IE"/>
        </w:rPr>
        <w:t>Aquatic Code</w:t>
      </w:r>
      <w:r w:rsidRPr="00A547B4">
        <w:rPr>
          <w:rFonts w:ascii="Söhne" w:eastAsia="Times New Roman" w:hAnsi="Söhne" w:cs="Times New Roman"/>
          <w:bCs/>
          <w:sz w:val="18"/>
          <w:lang w:val="en-IE"/>
        </w:rPr>
        <w:t xml:space="preserve"> are: northern brown shrimp (</w:t>
      </w:r>
      <w:r w:rsidRPr="00A547B4">
        <w:rPr>
          <w:rFonts w:ascii="Söhne" w:eastAsia="Times New Roman" w:hAnsi="Söhne" w:cs="Times New Roman"/>
          <w:bCs/>
          <w:i/>
          <w:sz w:val="18"/>
          <w:szCs w:val="18"/>
          <w:lang w:val="en-IE"/>
        </w:rPr>
        <w:t>Penaeus</w:t>
      </w:r>
      <w:r w:rsidRPr="00A547B4">
        <w:rPr>
          <w:rFonts w:ascii="Söhne" w:eastAsia="Times New Roman" w:hAnsi="Söhne" w:cs="Times New Roman"/>
          <w:bCs/>
          <w:i/>
          <w:sz w:val="18"/>
          <w:lang w:val="en-IE"/>
        </w:rPr>
        <w:t xml:space="preserve"> aztecus</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strike/>
          <w:sz w:val="18"/>
          <w:lang w:val="en-IE"/>
        </w:rPr>
        <w:t>Evidence is lacking for this species to either confirm that the identity of the pathogenic agent is IHHNV, transmission mimics natural pathways of infection, or presence of the pathogenic agent constitutes an infection.</w:t>
      </w:r>
    </w:p>
    <w:p w14:paraId="3B2D7415" w14:textId="77777777" w:rsidR="00983C95" w:rsidRPr="00A547B4" w:rsidRDefault="00983C95" w:rsidP="00983C95">
      <w:pPr>
        <w:spacing w:after="240" w:line="240" w:lineRule="auto"/>
        <w:ind w:left="851"/>
        <w:jc w:val="both"/>
        <w:rPr>
          <w:rFonts w:ascii="Söhne" w:eastAsia="Times New Roman" w:hAnsi="Söhne" w:cs="Arial"/>
          <w:bCs/>
          <w:i/>
          <w:strike/>
          <w:noProof/>
          <w:sz w:val="18"/>
          <w:szCs w:val="18"/>
          <w:lang w:val="en-IE"/>
        </w:rPr>
      </w:pPr>
      <w:r w:rsidRPr="00A547B4">
        <w:rPr>
          <w:rFonts w:ascii="Söhne" w:eastAsia="Times New Roman" w:hAnsi="Söhne" w:cs="Times New Roman"/>
          <w:bCs/>
          <w:sz w:val="18"/>
          <w:lang w:val="en-IE"/>
        </w:rPr>
        <w:t>In addition, pathogen-specific positive polymerase chain reaction (PCR) results have been reported in the following organisms, but an active infection has not been demonstrated</w:t>
      </w:r>
      <w:r w:rsidRPr="00A547B4">
        <w:rPr>
          <w:rFonts w:ascii="Söhne" w:eastAsia="Arial Unicode MS" w:hAnsi="Söhne" w:cs="Arial"/>
          <w:bCs/>
          <w:sz w:val="18"/>
          <w:szCs w:val="18"/>
          <w:bdr w:val="nil"/>
          <w:lang w:val="en-IE"/>
        </w:rPr>
        <w:t xml:space="preserve">: </w:t>
      </w:r>
      <w:r w:rsidRPr="00A547B4">
        <w:rPr>
          <w:rFonts w:ascii="Söhne" w:eastAsia="Times New Roman" w:hAnsi="Söhne" w:cs="Times New Roman"/>
          <w:bCs/>
          <w:strike/>
          <w:sz w:val="18"/>
          <w:lang w:val="en-US"/>
        </w:rPr>
        <w:t>giant river prawn (</w:t>
      </w:r>
      <w:r w:rsidRPr="00A547B4">
        <w:rPr>
          <w:rFonts w:ascii="Söhne" w:eastAsia="Times New Roman" w:hAnsi="Söhne" w:cs="Times New Roman"/>
          <w:bCs/>
          <w:i/>
          <w:strike/>
          <w:sz w:val="18"/>
          <w:lang w:val="en-US"/>
        </w:rPr>
        <w:t>Macrobrachium rosenbergii</w:t>
      </w:r>
      <w:r w:rsidRPr="00A547B4">
        <w:rPr>
          <w:rFonts w:ascii="Söhne" w:eastAsia="Times New Roman" w:hAnsi="Söhne" w:cs="Times New Roman"/>
          <w:bCs/>
          <w:iCs/>
          <w:strike/>
          <w:sz w:val="18"/>
          <w:lang w:val="en-US"/>
        </w:rPr>
        <w:t>),</w:t>
      </w:r>
      <w:r w:rsidRPr="00A547B4">
        <w:rPr>
          <w:rFonts w:ascii="Söhne" w:eastAsia="Times New Roman" w:hAnsi="Söhne" w:cs="Times New Roman"/>
          <w:bCs/>
          <w:strike/>
          <w:sz w:val="18"/>
          <w:lang w:val="en-US"/>
        </w:rPr>
        <w:t xml:space="preserve"> </w:t>
      </w:r>
      <w:r w:rsidRPr="00A547B4">
        <w:rPr>
          <w:rFonts w:ascii="Söhne" w:eastAsia="Arial Unicode MS" w:hAnsi="Söhne" w:cs="Arial"/>
          <w:bCs/>
          <w:strike/>
          <w:sz w:val="18"/>
          <w:szCs w:val="18"/>
          <w:bdr w:val="nil"/>
          <w:lang w:val="en-IE"/>
        </w:rPr>
        <w:t>northern pink shrimp (</w:t>
      </w:r>
      <w:r w:rsidRPr="00A547B4">
        <w:rPr>
          <w:rFonts w:ascii="Söhne" w:eastAsia="Times New Roman" w:hAnsi="Söhne" w:cs="Times New Roman"/>
          <w:bCs/>
          <w:i/>
          <w:strike/>
          <w:sz w:val="18"/>
          <w:szCs w:val="18"/>
          <w:lang w:val="en-IE"/>
        </w:rPr>
        <w:t>Penaeus</w:t>
      </w:r>
      <w:r w:rsidRPr="00A547B4">
        <w:rPr>
          <w:rFonts w:ascii="Söhne" w:eastAsia="Times New Roman" w:hAnsi="Söhne" w:cs="Times New Roman"/>
          <w:bCs/>
          <w:i/>
          <w:strike/>
          <w:sz w:val="18"/>
          <w:lang w:val="en-IE"/>
        </w:rPr>
        <w:t xml:space="preserve"> </w:t>
      </w:r>
      <w:r w:rsidRPr="00A547B4">
        <w:rPr>
          <w:rFonts w:ascii="Söhne" w:eastAsia="Times New Roman" w:hAnsi="Söhne" w:cs="Arial"/>
          <w:bCs/>
          <w:i/>
          <w:strike/>
          <w:sz w:val="18"/>
          <w:szCs w:val="18"/>
          <w:lang w:val="en-US"/>
        </w:rPr>
        <w:t>duorarum</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western white shrimp</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P. occidentalis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kuruma prawn </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P. japonicus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green tiger prawn</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P. semisulcatus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Hemigrapsus penicillatus, </w:t>
      </w:r>
      <w:r w:rsidRPr="00A547B4">
        <w:rPr>
          <w:rFonts w:ascii="Söhne" w:eastAsia="Times New Roman" w:hAnsi="Söhne" w:cs="Arial"/>
          <w:bCs/>
          <w:strike/>
          <w:sz w:val="18"/>
          <w:szCs w:val="18"/>
          <w:lang w:val="en-US"/>
        </w:rPr>
        <w:t>Argentine stiletto shrimp (</w:t>
      </w:r>
      <w:r w:rsidRPr="00A547B4">
        <w:rPr>
          <w:rFonts w:ascii="Söhne" w:eastAsia="Times New Roman" w:hAnsi="Söhne" w:cs="Arial"/>
          <w:bCs/>
          <w:i/>
          <w:strike/>
          <w:sz w:val="18"/>
          <w:szCs w:val="18"/>
          <w:lang w:val="en-US"/>
        </w:rPr>
        <w:t>Artemesia longinaris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Cuata swimcrab (</w:t>
      </w:r>
      <w:r w:rsidRPr="00A547B4">
        <w:rPr>
          <w:rFonts w:ascii="Söhne" w:eastAsia="Times New Roman" w:hAnsi="Söhne" w:cs="Arial"/>
          <w:bCs/>
          <w:i/>
          <w:strike/>
          <w:sz w:val="18"/>
          <w:szCs w:val="18"/>
          <w:lang w:val="en-US"/>
        </w:rPr>
        <w:t>Callinectes arcuatus),</w:t>
      </w:r>
      <w:r w:rsidRPr="00A547B4">
        <w:rPr>
          <w:rFonts w:ascii="Söhne" w:eastAsia="Times New Roman" w:hAnsi="Söhne" w:cs="Arial"/>
          <w:bCs/>
          <w:strike/>
          <w:sz w:val="18"/>
          <w:szCs w:val="18"/>
          <w:lang w:val="en-US"/>
        </w:rPr>
        <w:t xml:space="preserve"> Mazatlan sole (</w:t>
      </w:r>
      <w:r w:rsidRPr="00A547B4">
        <w:rPr>
          <w:rFonts w:ascii="Söhne" w:eastAsia="Times New Roman" w:hAnsi="Söhne" w:cs="Arial"/>
          <w:bCs/>
          <w:i/>
          <w:strike/>
          <w:sz w:val="18"/>
          <w:szCs w:val="18"/>
          <w:lang w:val="en-US"/>
        </w:rPr>
        <w:t>Achirus mazatlanus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iCs/>
          <w:strike/>
          <w:sz w:val="18"/>
          <w:szCs w:val="18"/>
          <w:lang w:val="en-US"/>
        </w:rPr>
        <w:t>yellowfin mojarra</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Gerres cinereus</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tilapias (</w:t>
      </w:r>
      <w:r w:rsidRPr="00A547B4">
        <w:rPr>
          <w:rFonts w:ascii="Söhne" w:eastAsia="Times New Roman" w:hAnsi="Söhne" w:cs="Arial"/>
          <w:bCs/>
          <w:i/>
          <w:strike/>
          <w:sz w:val="18"/>
          <w:szCs w:val="18"/>
          <w:lang w:val="en-US"/>
        </w:rPr>
        <w:t xml:space="preserve">Oreochromis </w:t>
      </w:r>
      <w:r w:rsidRPr="00A547B4">
        <w:rPr>
          <w:rFonts w:ascii="Söhne" w:eastAsia="Times New Roman" w:hAnsi="Söhne" w:cs="Arial"/>
          <w:bCs/>
          <w:strike/>
          <w:sz w:val="18"/>
          <w:szCs w:val="18"/>
          <w:lang w:val="en-US"/>
        </w:rPr>
        <w:t>sp.)</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Pacific piquitinga (</w:t>
      </w:r>
      <w:r w:rsidRPr="00A547B4">
        <w:rPr>
          <w:rFonts w:ascii="Söhne" w:eastAsia="Times New Roman" w:hAnsi="Söhne" w:cs="Arial"/>
          <w:bCs/>
          <w:i/>
          <w:strike/>
          <w:sz w:val="18"/>
          <w:szCs w:val="18"/>
          <w:lang w:val="en-US"/>
        </w:rPr>
        <w:t>Lile stolifera</w:t>
      </w:r>
      <w:r w:rsidRPr="00A547B4">
        <w:rPr>
          <w:rFonts w:ascii="Söhne" w:eastAsia="Times New Roman" w:hAnsi="Söhne" w:cs="Arial"/>
          <w:bCs/>
          <w:strike/>
          <w:sz w:val="18"/>
          <w:szCs w:val="18"/>
          <w:lang w:val="en-US"/>
        </w:rPr>
        <w:t>)</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and</w:t>
      </w:r>
      <w:r w:rsidRPr="00A547B4">
        <w:rPr>
          <w:rFonts w:ascii="Söhne" w:eastAsia="Times New Roman" w:hAnsi="Söhne" w:cs="Arial"/>
          <w:bCs/>
          <w:i/>
          <w:strike/>
          <w:sz w:val="18"/>
          <w:szCs w:val="18"/>
          <w:lang w:val="en-US"/>
        </w:rPr>
        <w:t xml:space="preserve"> </w:t>
      </w:r>
      <w:r w:rsidRPr="00A547B4">
        <w:rPr>
          <w:rFonts w:ascii="Söhne" w:eastAsia="Times New Roman" w:hAnsi="Söhne" w:cs="Arial"/>
          <w:bCs/>
          <w:strike/>
          <w:sz w:val="18"/>
          <w:szCs w:val="18"/>
          <w:lang w:val="en-US"/>
        </w:rPr>
        <w:t>blackfin snook (</w:t>
      </w:r>
      <w:r w:rsidRPr="00A547B4">
        <w:rPr>
          <w:rFonts w:ascii="Söhne" w:eastAsia="Times New Roman" w:hAnsi="Söhne" w:cs="Arial"/>
          <w:bCs/>
          <w:i/>
          <w:strike/>
          <w:sz w:val="18"/>
          <w:szCs w:val="18"/>
          <w:lang w:val="en-US"/>
        </w:rPr>
        <w:t>Centropomus medius</w:t>
      </w:r>
      <w:r w:rsidRPr="00A547B4">
        <w:rPr>
          <w:rFonts w:ascii="Söhne" w:eastAsia="Times New Roman" w:hAnsi="Söhne" w:cs="Arial"/>
          <w:bCs/>
          <w:strike/>
          <w:sz w:val="18"/>
          <w:szCs w:val="18"/>
          <w:lang w:val="en-US"/>
        </w:rPr>
        <w:t>)</w:t>
      </w:r>
      <w:r w:rsidRPr="00A547B4">
        <w:rPr>
          <w:rFonts w:ascii="Söhne" w:eastAsia="Times New Roman" w:hAnsi="Söhne" w:cs="Arial"/>
          <w:bCs/>
          <w:i/>
          <w:strike/>
          <w:noProof/>
          <w:sz w:val="18"/>
          <w:szCs w:val="18"/>
          <w:lang w:val="en-IE"/>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2976"/>
        <w:gridCol w:w="2694"/>
      </w:tblGrid>
      <w:tr w:rsidR="00983C95" w:rsidRPr="00A547B4" w14:paraId="38D71F1A" w14:textId="77777777" w:rsidTr="005E584A">
        <w:trPr>
          <w:tblHeader/>
          <w:jc w:val="center"/>
        </w:trPr>
        <w:tc>
          <w:tcPr>
            <w:tcW w:w="3256" w:type="dxa"/>
            <w:tcBorders>
              <w:top w:val="single" w:sz="4" w:space="0" w:color="auto"/>
              <w:bottom w:val="single" w:sz="4" w:space="0" w:color="auto"/>
            </w:tcBorders>
            <w:vAlign w:val="center"/>
          </w:tcPr>
          <w:p w14:paraId="59CB0C9D"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u w:val="double"/>
                <w:bdr w:val="nil"/>
                <w:lang w:val="en-GB" w:bidi="en-US"/>
              </w:rPr>
            </w:pPr>
            <w:r w:rsidRPr="00A547B4">
              <w:rPr>
                <w:rFonts w:ascii="Söhne" w:eastAsia="Helvetica Neue" w:hAnsi="Söhne" w:cs="Arial"/>
                <w:b/>
                <w:bCs/>
                <w:color w:val="000000"/>
                <w:sz w:val="18"/>
                <w:szCs w:val="18"/>
                <w:u w:val="double"/>
                <w:bdr w:val="nil"/>
                <w:lang w:val="en-GB" w:bidi="en-US"/>
              </w:rPr>
              <w:t>Family</w:t>
            </w:r>
          </w:p>
        </w:tc>
        <w:tc>
          <w:tcPr>
            <w:tcW w:w="2976" w:type="dxa"/>
            <w:tcBorders>
              <w:top w:val="single" w:sz="4" w:space="0" w:color="auto"/>
              <w:bottom w:val="single" w:sz="4" w:space="0" w:color="auto"/>
            </w:tcBorders>
            <w:shd w:val="clear" w:color="auto" w:fill="auto"/>
            <w:vAlign w:val="center"/>
          </w:tcPr>
          <w:p w14:paraId="5DAFCBB5"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u w:val="double"/>
                <w:bdr w:val="nil"/>
                <w:lang w:val="en-GB" w:bidi="en-US"/>
              </w:rPr>
            </w:pPr>
            <w:r w:rsidRPr="00A547B4">
              <w:rPr>
                <w:rFonts w:ascii="Söhne" w:eastAsia="Helvetica Neue" w:hAnsi="Söhne" w:cs="Arial"/>
                <w:b/>
                <w:bCs/>
                <w:color w:val="000000"/>
                <w:sz w:val="18"/>
                <w:szCs w:val="18"/>
                <w:u w:val="double"/>
                <w:bdr w:val="nil"/>
                <w:lang w:val="en-GB" w:bidi="en-US"/>
              </w:rPr>
              <w:t>Scientific name</w:t>
            </w:r>
          </w:p>
        </w:tc>
        <w:tc>
          <w:tcPr>
            <w:tcW w:w="2694" w:type="dxa"/>
            <w:tcBorders>
              <w:top w:val="single" w:sz="4" w:space="0" w:color="auto"/>
              <w:bottom w:val="single" w:sz="4" w:space="0" w:color="auto"/>
            </w:tcBorders>
            <w:vAlign w:val="center"/>
          </w:tcPr>
          <w:p w14:paraId="3C26D571"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
                <w:bCs/>
                <w:color w:val="000000"/>
                <w:sz w:val="18"/>
                <w:szCs w:val="18"/>
                <w:u w:val="double"/>
                <w:bdr w:val="nil"/>
                <w:lang w:val="en-GB" w:bidi="en-US"/>
              </w:rPr>
            </w:pPr>
            <w:r w:rsidRPr="00A547B4">
              <w:rPr>
                <w:rFonts w:ascii="Söhne" w:eastAsia="Helvetica Neue" w:hAnsi="Söhne" w:cs="Arial"/>
                <w:b/>
                <w:bCs/>
                <w:color w:val="000000"/>
                <w:sz w:val="18"/>
                <w:szCs w:val="18"/>
                <w:u w:val="double"/>
                <w:bdr w:val="nil"/>
                <w:lang w:val="en-GB" w:bidi="en-US"/>
              </w:rPr>
              <w:t>Common name</w:t>
            </w:r>
          </w:p>
        </w:tc>
      </w:tr>
      <w:tr w:rsidR="00983C95" w:rsidRPr="00A547B4" w14:paraId="6DDF18B3" w14:textId="77777777" w:rsidTr="005E584A">
        <w:trPr>
          <w:jc w:val="center"/>
        </w:trPr>
        <w:tc>
          <w:tcPr>
            <w:tcW w:w="3256" w:type="dxa"/>
            <w:vAlign w:val="center"/>
          </w:tcPr>
          <w:p w14:paraId="2FD0F420"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color w:val="000000"/>
                <w:sz w:val="18"/>
                <w:szCs w:val="18"/>
                <w:u w:val="double"/>
                <w:bdr w:val="nil"/>
                <w:lang w:val="it-IT"/>
              </w:rPr>
              <w:t>Achiridae</w:t>
            </w:r>
          </w:p>
        </w:tc>
        <w:tc>
          <w:tcPr>
            <w:tcW w:w="2976" w:type="dxa"/>
            <w:shd w:val="clear" w:color="auto" w:fill="auto"/>
            <w:vAlign w:val="center"/>
          </w:tcPr>
          <w:p w14:paraId="7E3234A1"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i/>
                <w:sz w:val="18"/>
                <w:szCs w:val="18"/>
                <w:u w:val="double"/>
                <w:lang w:val="en-US"/>
              </w:rPr>
            </w:pPr>
            <w:r w:rsidRPr="00A547B4">
              <w:rPr>
                <w:rFonts w:ascii="Söhne" w:eastAsia="Times New Roman" w:hAnsi="Söhne" w:cs="Arial"/>
                <w:bCs/>
                <w:i/>
                <w:sz w:val="18"/>
                <w:szCs w:val="18"/>
                <w:u w:val="double"/>
                <w:lang w:val="en-US"/>
              </w:rPr>
              <w:t>Achirus mazatlanus</w:t>
            </w:r>
          </w:p>
        </w:tc>
        <w:tc>
          <w:tcPr>
            <w:tcW w:w="2694" w:type="dxa"/>
            <w:vAlign w:val="center"/>
          </w:tcPr>
          <w:p w14:paraId="671A0FDA"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sz w:val="18"/>
                <w:szCs w:val="18"/>
                <w:u w:val="double"/>
                <w:lang w:val="en-US"/>
              </w:rPr>
            </w:pPr>
            <w:r w:rsidRPr="00A547B4">
              <w:rPr>
                <w:rFonts w:ascii="Söhne" w:eastAsia="Times New Roman" w:hAnsi="Söhne" w:cs="Arial"/>
                <w:bCs/>
                <w:sz w:val="18"/>
                <w:szCs w:val="18"/>
                <w:u w:val="double"/>
                <w:lang w:val="en-US"/>
              </w:rPr>
              <w:t>Mazatlan sole</w:t>
            </w:r>
          </w:p>
        </w:tc>
      </w:tr>
      <w:tr w:rsidR="00983C95" w:rsidRPr="00A547B4" w14:paraId="0D440DB6" w14:textId="77777777" w:rsidTr="005E584A">
        <w:trPr>
          <w:jc w:val="center"/>
        </w:trPr>
        <w:tc>
          <w:tcPr>
            <w:tcW w:w="3256" w:type="dxa"/>
            <w:vAlign w:val="center"/>
          </w:tcPr>
          <w:p w14:paraId="22C38A8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color w:val="000000"/>
                <w:sz w:val="18"/>
                <w:szCs w:val="18"/>
                <w:u w:val="double"/>
                <w:bdr w:val="nil"/>
                <w:lang w:val="it-IT"/>
              </w:rPr>
              <w:t>Centropomidae</w:t>
            </w:r>
          </w:p>
        </w:tc>
        <w:tc>
          <w:tcPr>
            <w:tcW w:w="2976" w:type="dxa"/>
            <w:shd w:val="clear" w:color="auto" w:fill="auto"/>
            <w:vAlign w:val="center"/>
          </w:tcPr>
          <w:p w14:paraId="42A7496B"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i/>
                <w:sz w:val="18"/>
                <w:szCs w:val="18"/>
                <w:u w:val="double"/>
                <w:lang w:val="en-US"/>
              </w:rPr>
            </w:pPr>
            <w:r w:rsidRPr="00A547B4">
              <w:rPr>
                <w:rFonts w:ascii="Söhne" w:eastAsia="Times New Roman" w:hAnsi="Söhne" w:cs="Arial"/>
                <w:bCs/>
                <w:i/>
                <w:sz w:val="18"/>
                <w:szCs w:val="18"/>
                <w:u w:val="double"/>
                <w:lang w:val="en-US"/>
              </w:rPr>
              <w:t>Centropomus medius</w:t>
            </w:r>
            <w:r w:rsidRPr="00A547B4">
              <w:rPr>
                <w:rFonts w:ascii="Söhne" w:eastAsia="Times New Roman" w:hAnsi="Söhne" w:cs="Arial"/>
                <w:bCs/>
                <w:i/>
                <w:noProof/>
                <w:sz w:val="18"/>
                <w:szCs w:val="18"/>
                <w:u w:val="double"/>
                <w:lang w:val="en-IE"/>
              </w:rPr>
              <w:t xml:space="preserve"> </w:t>
            </w:r>
          </w:p>
        </w:tc>
        <w:tc>
          <w:tcPr>
            <w:tcW w:w="2694" w:type="dxa"/>
            <w:vAlign w:val="center"/>
          </w:tcPr>
          <w:p w14:paraId="26B873ED"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sz w:val="18"/>
                <w:szCs w:val="18"/>
                <w:u w:val="double"/>
                <w:lang w:val="en-US"/>
              </w:rPr>
            </w:pPr>
            <w:r w:rsidRPr="00A547B4">
              <w:rPr>
                <w:rFonts w:ascii="Söhne" w:eastAsia="Times New Roman" w:hAnsi="Söhne" w:cs="Arial"/>
                <w:bCs/>
                <w:sz w:val="18"/>
                <w:szCs w:val="18"/>
                <w:u w:val="double"/>
                <w:lang w:val="en-US"/>
              </w:rPr>
              <w:t>blackfin snook</w:t>
            </w:r>
          </w:p>
        </w:tc>
      </w:tr>
      <w:tr w:rsidR="00983C95" w:rsidRPr="00A547B4" w14:paraId="6F0E3A3E" w14:textId="77777777" w:rsidTr="005E584A">
        <w:trPr>
          <w:jc w:val="center"/>
        </w:trPr>
        <w:tc>
          <w:tcPr>
            <w:tcW w:w="3256" w:type="dxa"/>
            <w:vAlign w:val="center"/>
          </w:tcPr>
          <w:p w14:paraId="06CEC4F4"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bCs/>
                <w:color w:val="000000"/>
                <w:sz w:val="18"/>
                <w:szCs w:val="18"/>
                <w:u w:val="double"/>
                <w:bdr w:val="nil"/>
                <w:lang w:val="it-IT" w:bidi="en-US"/>
              </w:rPr>
              <w:t>Cichlidae</w:t>
            </w:r>
          </w:p>
        </w:tc>
        <w:tc>
          <w:tcPr>
            <w:tcW w:w="2976" w:type="dxa"/>
            <w:shd w:val="clear" w:color="auto" w:fill="auto"/>
            <w:vAlign w:val="center"/>
          </w:tcPr>
          <w:p w14:paraId="45668335"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i/>
                <w:sz w:val="18"/>
                <w:szCs w:val="18"/>
                <w:u w:val="double"/>
                <w:lang w:val="en-US"/>
              </w:rPr>
            </w:pPr>
            <w:r w:rsidRPr="00A547B4">
              <w:rPr>
                <w:rFonts w:ascii="Söhne" w:eastAsia="Times New Roman" w:hAnsi="Söhne" w:cs="Arial"/>
                <w:bCs/>
                <w:i/>
                <w:sz w:val="18"/>
                <w:szCs w:val="18"/>
                <w:u w:val="double"/>
                <w:lang w:val="en-US"/>
              </w:rPr>
              <w:t xml:space="preserve">Oreochromis </w:t>
            </w:r>
            <w:r w:rsidRPr="00A547B4">
              <w:rPr>
                <w:rFonts w:ascii="Söhne" w:eastAsia="Times New Roman" w:hAnsi="Söhne" w:cs="Arial"/>
                <w:bCs/>
                <w:sz w:val="18"/>
                <w:szCs w:val="18"/>
                <w:u w:val="double"/>
                <w:lang w:val="en-US"/>
              </w:rPr>
              <w:t>sp.</w:t>
            </w:r>
          </w:p>
        </w:tc>
        <w:tc>
          <w:tcPr>
            <w:tcW w:w="2694" w:type="dxa"/>
            <w:vAlign w:val="center"/>
          </w:tcPr>
          <w:p w14:paraId="08C4556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sz w:val="18"/>
                <w:szCs w:val="18"/>
                <w:u w:val="double"/>
                <w:lang w:val="en-US"/>
              </w:rPr>
            </w:pPr>
            <w:r w:rsidRPr="00A547B4">
              <w:rPr>
                <w:rFonts w:ascii="Söhne" w:eastAsia="Times New Roman" w:hAnsi="Söhne" w:cs="Arial"/>
                <w:bCs/>
                <w:sz w:val="18"/>
                <w:szCs w:val="18"/>
                <w:u w:val="double"/>
                <w:lang w:val="en-US"/>
              </w:rPr>
              <w:t>tilapias</w:t>
            </w:r>
          </w:p>
        </w:tc>
      </w:tr>
      <w:tr w:rsidR="00983C95" w:rsidRPr="00A547B4" w14:paraId="2C023A09" w14:textId="77777777" w:rsidTr="005E584A">
        <w:trPr>
          <w:jc w:val="center"/>
        </w:trPr>
        <w:tc>
          <w:tcPr>
            <w:tcW w:w="3256" w:type="dxa"/>
            <w:vAlign w:val="center"/>
          </w:tcPr>
          <w:p w14:paraId="0FDD6233"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color w:val="000000"/>
                <w:sz w:val="18"/>
                <w:szCs w:val="18"/>
                <w:u w:val="double"/>
                <w:bdr w:val="nil"/>
                <w:lang w:val="it-IT"/>
              </w:rPr>
              <w:t>Clupeidae</w:t>
            </w:r>
          </w:p>
        </w:tc>
        <w:tc>
          <w:tcPr>
            <w:tcW w:w="2976" w:type="dxa"/>
            <w:shd w:val="clear" w:color="auto" w:fill="auto"/>
            <w:vAlign w:val="center"/>
          </w:tcPr>
          <w:p w14:paraId="3B0CF3CD"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i/>
                <w:sz w:val="18"/>
                <w:szCs w:val="18"/>
                <w:u w:val="double"/>
                <w:lang w:val="en-US"/>
              </w:rPr>
            </w:pPr>
            <w:r w:rsidRPr="00A547B4">
              <w:rPr>
                <w:rFonts w:ascii="Söhne" w:eastAsia="Times New Roman" w:hAnsi="Söhne" w:cs="Arial"/>
                <w:bCs/>
                <w:i/>
                <w:sz w:val="18"/>
                <w:szCs w:val="18"/>
                <w:u w:val="double"/>
                <w:lang w:val="en-US"/>
              </w:rPr>
              <w:t>Lile stolifera</w:t>
            </w:r>
          </w:p>
        </w:tc>
        <w:tc>
          <w:tcPr>
            <w:tcW w:w="2694" w:type="dxa"/>
            <w:vAlign w:val="center"/>
          </w:tcPr>
          <w:p w14:paraId="7AF1DEEE"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sz w:val="18"/>
                <w:szCs w:val="18"/>
                <w:u w:val="double"/>
                <w:lang w:val="en-US"/>
              </w:rPr>
            </w:pPr>
            <w:r w:rsidRPr="00A547B4">
              <w:rPr>
                <w:rFonts w:ascii="Söhne" w:eastAsia="Times New Roman" w:hAnsi="Söhne" w:cs="Arial"/>
                <w:bCs/>
                <w:sz w:val="18"/>
                <w:szCs w:val="18"/>
                <w:u w:val="double"/>
                <w:lang w:val="en-US"/>
              </w:rPr>
              <w:t>Pacific piquitinga</w:t>
            </w:r>
          </w:p>
        </w:tc>
      </w:tr>
      <w:tr w:rsidR="00983C95" w:rsidRPr="00A547B4" w14:paraId="087ACE42" w14:textId="77777777" w:rsidTr="005E584A">
        <w:trPr>
          <w:jc w:val="center"/>
        </w:trPr>
        <w:tc>
          <w:tcPr>
            <w:tcW w:w="3256" w:type="dxa"/>
            <w:vAlign w:val="center"/>
          </w:tcPr>
          <w:p w14:paraId="6C79428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color w:val="000000"/>
                <w:sz w:val="18"/>
                <w:szCs w:val="18"/>
                <w:u w:val="double"/>
                <w:bdr w:val="nil"/>
                <w:lang w:val="it-IT"/>
              </w:rPr>
              <w:t>Gerreidae</w:t>
            </w:r>
          </w:p>
        </w:tc>
        <w:tc>
          <w:tcPr>
            <w:tcW w:w="2976" w:type="dxa"/>
            <w:shd w:val="clear" w:color="auto" w:fill="auto"/>
            <w:vAlign w:val="center"/>
          </w:tcPr>
          <w:p w14:paraId="02FB593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i/>
                <w:sz w:val="18"/>
                <w:szCs w:val="18"/>
                <w:u w:val="double"/>
                <w:lang w:val="en-US"/>
              </w:rPr>
            </w:pPr>
            <w:r w:rsidRPr="00A547B4">
              <w:rPr>
                <w:rFonts w:ascii="Söhne" w:eastAsia="Times New Roman" w:hAnsi="Söhne" w:cs="Arial"/>
                <w:bCs/>
                <w:i/>
                <w:sz w:val="18"/>
                <w:szCs w:val="18"/>
                <w:u w:val="double"/>
                <w:lang w:val="en-US"/>
              </w:rPr>
              <w:t>Gerres cinereus</w:t>
            </w:r>
          </w:p>
        </w:tc>
        <w:tc>
          <w:tcPr>
            <w:tcW w:w="2694" w:type="dxa"/>
            <w:vAlign w:val="center"/>
          </w:tcPr>
          <w:p w14:paraId="7F9B6B92"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sz w:val="18"/>
                <w:szCs w:val="18"/>
                <w:u w:val="double"/>
                <w:lang w:val="en-US"/>
              </w:rPr>
            </w:pPr>
            <w:r w:rsidRPr="00A547B4">
              <w:rPr>
                <w:rFonts w:ascii="Söhne" w:eastAsia="Times New Roman" w:hAnsi="Söhne" w:cs="Arial"/>
                <w:bCs/>
                <w:iCs/>
                <w:sz w:val="18"/>
                <w:szCs w:val="18"/>
                <w:u w:val="double"/>
                <w:lang w:val="en-US"/>
              </w:rPr>
              <w:t>yellowfin mojarra</w:t>
            </w:r>
          </w:p>
        </w:tc>
      </w:tr>
      <w:tr w:rsidR="00983C95" w:rsidRPr="00A547B4" w14:paraId="35F203C5" w14:textId="77777777" w:rsidTr="005E584A">
        <w:trPr>
          <w:jc w:val="center"/>
        </w:trPr>
        <w:tc>
          <w:tcPr>
            <w:tcW w:w="3256" w:type="dxa"/>
            <w:vAlign w:val="center"/>
          </w:tcPr>
          <w:p w14:paraId="6A477B16"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bCs/>
                <w:color w:val="000000"/>
                <w:sz w:val="18"/>
                <w:szCs w:val="18"/>
                <w:u w:val="double"/>
                <w:bdr w:val="nil"/>
                <w:lang w:val="en-GB" w:bidi="en-US"/>
              </w:rPr>
              <w:t>Palaemonidae</w:t>
            </w:r>
          </w:p>
        </w:tc>
        <w:tc>
          <w:tcPr>
            <w:tcW w:w="2976" w:type="dxa"/>
            <w:shd w:val="clear" w:color="auto" w:fill="auto"/>
            <w:vAlign w:val="center"/>
          </w:tcPr>
          <w:p w14:paraId="5349F546"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i/>
                <w:iCs/>
                <w:color w:val="231F20"/>
                <w:sz w:val="18"/>
                <w:szCs w:val="18"/>
                <w:u w:val="double"/>
                <w:bdr w:val="nil"/>
                <w:lang w:val="en-GB"/>
              </w:rPr>
            </w:pPr>
            <w:r w:rsidRPr="00A547B4">
              <w:rPr>
                <w:rFonts w:ascii="Söhne" w:eastAsia="Times New Roman" w:hAnsi="Söhne" w:cs="Times New Roman"/>
                <w:i/>
                <w:sz w:val="18"/>
                <w:szCs w:val="18"/>
                <w:u w:val="double"/>
                <w:lang w:val="en-US"/>
              </w:rPr>
              <w:t>Macrobrachium rosenbergii</w:t>
            </w:r>
          </w:p>
        </w:tc>
        <w:tc>
          <w:tcPr>
            <w:tcW w:w="2694" w:type="dxa"/>
            <w:vAlign w:val="center"/>
          </w:tcPr>
          <w:p w14:paraId="5753690D"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231F20"/>
                <w:sz w:val="18"/>
                <w:szCs w:val="18"/>
                <w:u w:val="double"/>
                <w:bdr w:val="nil"/>
                <w:lang w:val="en-GB"/>
              </w:rPr>
            </w:pPr>
            <w:r w:rsidRPr="00A547B4">
              <w:rPr>
                <w:rFonts w:ascii="Söhne" w:eastAsia="Times New Roman" w:hAnsi="Söhne" w:cs="Times New Roman"/>
                <w:sz w:val="18"/>
                <w:szCs w:val="18"/>
                <w:u w:val="double"/>
                <w:lang w:val="en-US"/>
              </w:rPr>
              <w:t>giant river prawn</w:t>
            </w:r>
          </w:p>
        </w:tc>
      </w:tr>
      <w:tr w:rsidR="00983C95" w:rsidRPr="00A547B4" w14:paraId="47B7E3ED" w14:textId="77777777" w:rsidTr="005E584A">
        <w:trPr>
          <w:jc w:val="center"/>
        </w:trPr>
        <w:tc>
          <w:tcPr>
            <w:tcW w:w="3256" w:type="dxa"/>
            <w:vMerge w:val="restart"/>
            <w:vAlign w:val="center"/>
          </w:tcPr>
          <w:p w14:paraId="2087738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Helvetica Neue" w:hAnsi="Söhne" w:cs="Arial"/>
                <w:bCs/>
                <w:color w:val="000000"/>
                <w:sz w:val="18"/>
                <w:szCs w:val="18"/>
                <w:u w:val="double"/>
                <w:bdr w:val="nil"/>
                <w:lang w:val="en-GB" w:bidi="en-US"/>
              </w:rPr>
              <w:t>Penaeidae</w:t>
            </w:r>
          </w:p>
        </w:tc>
        <w:tc>
          <w:tcPr>
            <w:tcW w:w="2976" w:type="dxa"/>
            <w:shd w:val="clear" w:color="auto" w:fill="auto"/>
            <w:vAlign w:val="center"/>
          </w:tcPr>
          <w:p w14:paraId="07690A5F"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i/>
                <w:iCs/>
                <w:color w:val="231F20"/>
                <w:sz w:val="18"/>
                <w:szCs w:val="18"/>
                <w:u w:val="double"/>
                <w:bdr w:val="nil"/>
                <w:lang w:val="en-GB"/>
              </w:rPr>
            </w:pPr>
            <w:r w:rsidRPr="00A547B4">
              <w:rPr>
                <w:rFonts w:ascii="Söhne" w:eastAsia="Times New Roman" w:hAnsi="Söhne" w:cs="Times New Roman"/>
                <w:bCs/>
                <w:i/>
                <w:sz w:val="18"/>
                <w:szCs w:val="18"/>
                <w:u w:val="double"/>
                <w:lang w:val="en-IE"/>
              </w:rPr>
              <w:t>Penaeus</w:t>
            </w:r>
            <w:r w:rsidRPr="00A547B4">
              <w:rPr>
                <w:rFonts w:ascii="Söhne" w:eastAsia="Times New Roman" w:hAnsi="Söhne" w:cs="Times New Roman"/>
                <w:i/>
                <w:sz w:val="18"/>
                <w:szCs w:val="18"/>
                <w:u w:val="double"/>
                <w:lang w:val="en-IE"/>
              </w:rPr>
              <w:t xml:space="preserve"> </w:t>
            </w:r>
            <w:r w:rsidRPr="00A547B4">
              <w:rPr>
                <w:rFonts w:ascii="Söhne" w:eastAsia="Times New Roman" w:hAnsi="Söhne" w:cs="Arial"/>
                <w:bCs/>
                <w:i/>
                <w:sz w:val="18"/>
                <w:szCs w:val="18"/>
                <w:u w:val="double"/>
                <w:lang w:val="en-US"/>
              </w:rPr>
              <w:t>duorarum</w:t>
            </w:r>
          </w:p>
        </w:tc>
        <w:tc>
          <w:tcPr>
            <w:tcW w:w="2694" w:type="dxa"/>
            <w:vAlign w:val="center"/>
          </w:tcPr>
          <w:p w14:paraId="63BF94AF" w14:textId="77777777" w:rsidR="00983C95" w:rsidRPr="00A547B4" w:rsidRDefault="00983C95" w:rsidP="005E584A">
            <w:pPr>
              <w:spacing w:after="0" w:line="240" w:lineRule="auto"/>
              <w:jc w:val="center"/>
              <w:rPr>
                <w:rFonts w:ascii="Söhne" w:eastAsia="Helvetica Neue" w:hAnsi="Söhne" w:cs="Times New Roman"/>
                <w:b/>
                <w:bCs/>
                <w:color w:val="231F20"/>
                <w:sz w:val="18"/>
                <w:szCs w:val="18"/>
                <w:u w:val="double"/>
                <w:bdr w:val="nil"/>
                <w:lang w:val="en-GB" w:eastAsia="fr-FR"/>
              </w:rPr>
            </w:pPr>
            <w:r w:rsidRPr="00A547B4">
              <w:rPr>
                <w:rFonts w:ascii="Söhne" w:eastAsia="Arial Unicode MS" w:hAnsi="Söhne" w:cs="Arial"/>
                <w:bCs/>
                <w:sz w:val="18"/>
                <w:szCs w:val="18"/>
                <w:u w:val="double"/>
                <w:bdr w:val="nil"/>
                <w:lang w:val="en-IE"/>
              </w:rPr>
              <w:t>northern pink shrimp</w:t>
            </w:r>
          </w:p>
        </w:tc>
      </w:tr>
      <w:tr w:rsidR="00983C95" w:rsidRPr="00A547B4" w14:paraId="0A4350DD" w14:textId="77777777" w:rsidTr="005E584A">
        <w:trPr>
          <w:jc w:val="center"/>
        </w:trPr>
        <w:tc>
          <w:tcPr>
            <w:tcW w:w="3256" w:type="dxa"/>
            <w:vMerge/>
            <w:vAlign w:val="center"/>
          </w:tcPr>
          <w:p w14:paraId="74AFD994"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000000"/>
                <w:sz w:val="18"/>
                <w:szCs w:val="18"/>
                <w:u w:val="double"/>
                <w:bdr w:val="nil"/>
                <w:lang w:val="en-GB"/>
              </w:rPr>
            </w:pPr>
          </w:p>
        </w:tc>
        <w:tc>
          <w:tcPr>
            <w:tcW w:w="2976" w:type="dxa"/>
            <w:shd w:val="clear" w:color="auto" w:fill="auto"/>
            <w:vAlign w:val="center"/>
          </w:tcPr>
          <w:p w14:paraId="193B04D8"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Cs/>
                <w:color w:val="000000"/>
                <w:sz w:val="18"/>
                <w:szCs w:val="18"/>
                <w:u w:val="double"/>
                <w:bdr w:val="nil"/>
                <w:lang w:val="en-GB" w:bidi="en-US"/>
              </w:rPr>
            </w:pPr>
            <w:r w:rsidRPr="00A547B4">
              <w:rPr>
                <w:rFonts w:ascii="Söhne" w:eastAsia="Times New Roman" w:hAnsi="Söhne" w:cs="Times New Roman"/>
                <w:bCs/>
                <w:i/>
                <w:sz w:val="18"/>
                <w:szCs w:val="18"/>
                <w:u w:val="double"/>
                <w:lang w:val="en-IE"/>
              </w:rPr>
              <w:t>Penaeus</w:t>
            </w:r>
            <w:r w:rsidRPr="00A547B4">
              <w:rPr>
                <w:rFonts w:ascii="Söhne" w:eastAsia="Times New Roman" w:hAnsi="Söhne" w:cs="Times New Roman"/>
                <w:i/>
                <w:sz w:val="18"/>
                <w:szCs w:val="18"/>
                <w:u w:val="double"/>
                <w:lang w:val="en-IE"/>
              </w:rPr>
              <w:t xml:space="preserve"> </w:t>
            </w:r>
            <w:r w:rsidRPr="00A547B4">
              <w:rPr>
                <w:rFonts w:ascii="Söhne" w:eastAsia="Times New Roman" w:hAnsi="Söhne" w:cs="Arial"/>
                <w:bCs/>
                <w:i/>
                <w:sz w:val="18"/>
                <w:szCs w:val="18"/>
                <w:u w:val="double"/>
                <w:lang w:val="en-US"/>
              </w:rPr>
              <w:t>occidentalis</w:t>
            </w:r>
          </w:p>
        </w:tc>
        <w:tc>
          <w:tcPr>
            <w:tcW w:w="2694" w:type="dxa"/>
            <w:vAlign w:val="center"/>
          </w:tcPr>
          <w:p w14:paraId="08359289"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Cs/>
                <w:color w:val="000000"/>
                <w:sz w:val="18"/>
                <w:szCs w:val="18"/>
                <w:u w:val="double"/>
                <w:bdr w:val="nil"/>
                <w:lang w:val="en-GB" w:bidi="en-US"/>
              </w:rPr>
            </w:pPr>
            <w:r w:rsidRPr="00A547B4">
              <w:rPr>
                <w:rFonts w:ascii="Söhne" w:eastAsia="Times New Roman" w:hAnsi="Söhne" w:cs="Arial"/>
                <w:bCs/>
                <w:sz w:val="18"/>
                <w:szCs w:val="18"/>
                <w:u w:val="double"/>
                <w:lang w:val="en-US"/>
              </w:rPr>
              <w:t>western white shrimp</w:t>
            </w:r>
          </w:p>
        </w:tc>
      </w:tr>
      <w:tr w:rsidR="00983C95" w:rsidRPr="00A547B4" w14:paraId="44DE9653" w14:textId="77777777" w:rsidTr="005E584A">
        <w:trPr>
          <w:jc w:val="center"/>
        </w:trPr>
        <w:tc>
          <w:tcPr>
            <w:tcW w:w="3256" w:type="dxa"/>
            <w:vMerge/>
            <w:vAlign w:val="center"/>
          </w:tcPr>
          <w:p w14:paraId="5381DF83"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p>
        </w:tc>
        <w:tc>
          <w:tcPr>
            <w:tcW w:w="2976" w:type="dxa"/>
            <w:shd w:val="clear" w:color="auto" w:fill="auto"/>
            <w:vAlign w:val="center"/>
          </w:tcPr>
          <w:p w14:paraId="38688B64"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
                <w:color w:val="000000"/>
                <w:sz w:val="18"/>
                <w:szCs w:val="18"/>
                <w:u w:val="double"/>
                <w:bdr w:val="nil"/>
                <w:lang w:val="en-GB" w:bidi="en-US"/>
              </w:rPr>
            </w:pPr>
            <w:r w:rsidRPr="00A547B4">
              <w:rPr>
                <w:rFonts w:ascii="Söhne" w:eastAsia="Times New Roman" w:hAnsi="Söhne" w:cs="Times New Roman"/>
                <w:bCs/>
                <w:i/>
                <w:sz w:val="18"/>
                <w:szCs w:val="18"/>
                <w:u w:val="double"/>
                <w:lang w:val="en-IE"/>
              </w:rPr>
              <w:t>Penaeus</w:t>
            </w:r>
            <w:r w:rsidRPr="00A547B4">
              <w:rPr>
                <w:rFonts w:ascii="Söhne" w:eastAsia="Times New Roman" w:hAnsi="Söhne" w:cs="Times New Roman"/>
                <w:i/>
                <w:sz w:val="18"/>
                <w:szCs w:val="18"/>
                <w:u w:val="double"/>
                <w:lang w:val="en-IE"/>
              </w:rPr>
              <w:t xml:space="preserve"> </w:t>
            </w:r>
            <w:r w:rsidRPr="00A547B4">
              <w:rPr>
                <w:rFonts w:ascii="Söhne" w:eastAsia="Times New Roman" w:hAnsi="Söhne" w:cs="Arial"/>
                <w:bCs/>
                <w:i/>
                <w:sz w:val="18"/>
                <w:szCs w:val="18"/>
                <w:u w:val="double"/>
                <w:lang w:val="en-US"/>
              </w:rPr>
              <w:t>japonicus</w:t>
            </w:r>
          </w:p>
        </w:tc>
        <w:tc>
          <w:tcPr>
            <w:tcW w:w="2694" w:type="dxa"/>
            <w:vAlign w:val="center"/>
          </w:tcPr>
          <w:p w14:paraId="1DB85D43"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231F20"/>
                <w:sz w:val="18"/>
                <w:szCs w:val="18"/>
                <w:u w:val="double"/>
                <w:bdr w:val="nil"/>
                <w:lang w:val="en-GB"/>
              </w:rPr>
            </w:pPr>
            <w:r w:rsidRPr="00A547B4">
              <w:rPr>
                <w:rFonts w:ascii="Söhne" w:eastAsia="Times New Roman" w:hAnsi="Söhne" w:cs="Arial"/>
                <w:sz w:val="18"/>
                <w:szCs w:val="18"/>
                <w:u w:val="double"/>
                <w:lang w:val="en-US"/>
              </w:rPr>
              <w:t>kuruma prawn</w:t>
            </w:r>
          </w:p>
        </w:tc>
      </w:tr>
      <w:tr w:rsidR="00983C95" w:rsidRPr="00A547B4" w14:paraId="18EC9BB6" w14:textId="77777777" w:rsidTr="005E584A">
        <w:trPr>
          <w:jc w:val="center"/>
        </w:trPr>
        <w:tc>
          <w:tcPr>
            <w:tcW w:w="3256" w:type="dxa"/>
            <w:vMerge/>
            <w:vAlign w:val="center"/>
          </w:tcPr>
          <w:p w14:paraId="2A39D6D4"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000000"/>
                <w:sz w:val="18"/>
                <w:szCs w:val="18"/>
                <w:u w:val="double"/>
                <w:bdr w:val="nil"/>
                <w:lang w:val="en-GB"/>
              </w:rPr>
            </w:pPr>
          </w:p>
        </w:tc>
        <w:tc>
          <w:tcPr>
            <w:tcW w:w="2976" w:type="dxa"/>
            <w:shd w:val="clear" w:color="auto" w:fill="auto"/>
            <w:vAlign w:val="center"/>
          </w:tcPr>
          <w:p w14:paraId="07F35358"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
                <w:iCs/>
                <w:color w:val="000000"/>
                <w:sz w:val="18"/>
                <w:szCs w:val="18"/>
                <w:u w:val="double"/>
                <w:bdr w:val="nil"/>
                <w:lang w:val="en-GB" w:bidi="en-US"/>
              </w:rPr>
            </w:pPr>
            <w:r w:rsidRPr="00A547B4">
              <w:rPr>
                <w:rFonts w:ascii="Söhne" w:eastAsia="Times New Roman" w:hAnsi="Söhne" w:cs="Times New Roman"/>
                <w:bCs/>
                <w:i/>
                <w:sz w:val="18"/>
                <w:szCs w:val="18"/>
                <w:u w:val="double"/>
                <w:lang w:val="en-IE"/>
              </w:rPr>
              <w:t>Penaeus</w:t>
            </w:r>
            <w:r w:rsidRPr="00A547B4">
              <w:rPr>
                <w:rFonts w:ascii="Söhne" w:eastAsia="Times New Roman" w:hAnsi="Söhne" w:cs="Times New Roman"/>
                <w:i/>
                <w:sz w:val="18"/>
                <w:szCs w:val="18"/>
                <w:u w:val="double"/>
                <w:lang w:val="en-IE"/>
              </w:rPr>
              <w:t xml:space="preserve"> </w:t>
            </w:r>
            <w:r w:rsidRPr="00A547B4">
              <w:rPr>
                <w:rFonts w:ascii="Söhne" w:eastAsia="Times New Roman" w:hAnsi="Söhne" w:cs="Arial"/>
                <w:bCs/>
                <w:i/>
                <w:sz w:val="18"/>
                <w:szCs w:val="18"/>
                <w:u w:val="double"/>
                <w:lang w:val="en-US"/>
              </w:rPr>
              <w:t>semisulcatus</w:t>
            </w:r>
          </w:p>
        </w:tc>
        <w:tc>
          <w:tcPr>
            <w:tcW w:w="2694" w:type="dxa"/>
            <w:vAlign w:val="center"/>
          </w:tcPr>
          <w:p w14:paraId="1CD0FFA8"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color w:val="000000"/>
                <w:sz w:val="18"/>
                <w:szCs w:val="18"/>
                <w:u w:val="double"/>
                <w:bdr w:val="nil"/>
                <w:lang w:val="en-GB" w:bidi="en-US"/>
              </w:rPr>
            </w:pPr>
            <w:r w:rsidRPr="00A547B4">
              <w:rPr>
                <w:rFonts w:ascii="Söhne" w:eastAsia="Times New Roman" w:hAnsi="Söhne" w:cs="Arial"/>
                <w:bCs/>
                <w:sz w:val="18"/>
                <w:szCs w:val="18"/>
                <w:u w:val="double"/>
                <w:lang w:val="en-US"/>
              </w:rPr>
              <w:t>green tiger prawn</w:t>
            </w:r>
          </w:p>
        </w:tc>
      </w:tr>
      <w:tr w:rsidR="00983C95" w:rsidRPr="00A547B4" w14:paraId="6084B604" w14:textId="77777777" w:rsidTr="005E584A">
        <w:trPr>
          <w:jc w:val="center"/>
        </w:trPr>
        <w:tc>
          <w:tcPr>
            <w:tcW w:w="3256" w:type="dxa"/>
            <w:vMerge/>
            <w:vAlign w:val="center"/>
          </w:tcPr>
          <w:p w14:paraId="481E5A20"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000000"/>
                <w:sz w:val="18"/>
                <w:szCs w:val="18"/>
                <w:u w:val="double"/>
                <w:bdr w:val="nil"/>
                <w:lang w:val="en-GB"/>
              </w:rPr>
            </w:pPr>
          </w:p>
        </w:tc>
        <w:tc>
          <w:tcPr>
            <w:tcW w:w="2976" w:type="dxa"/>
            <w:shd w:val="clear" w:color="auto" w:fill="auto"/>
            <w:vAlign w:val="center"/>
          </w:tcPr>
          <w:p w14:paraId="4F7462A1"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Times New Roman"/>
                <w:bCs/>
                <w:i/>
                <w:sz w:val="18"/>
                <w:szCs w:val="18"/>
                <w:u w:val="double"/>
                <w:lang w:val="en-IE"/>
              </w:rPr>
            </w:pPr>
            <w:r w:rsidRPr="00A547B4">
              <w:rPr>
                <w:rFonts w:ascii="Söhne" w:eastAsia="Times New Roman" w:hAnsi="Söhne" w:cs="Arial"/>
                <w:bCs/>
                <w:i/>
                <w:sz w:val="18"/>
                <w:szCs w:val="18"/>
                <w:u w:val="double"/>
                <w:lang w:val="it-IT"/>
              </w:rPr>
              <w:t>Artemesia longinaris</w:t>
            </w:r>
          </w:p>
        </w:tc>
        <w:tc>
          <w:tcPr>
            <w:tcW w:w="2694" w:type="dxa"/>
            <w:vAlign w:val="center"/>
          </w:tcPr>
          <w:p w14:paraId="3EF88EA2"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Arial"/>
                <w:bCs/>
                <w:sz w:val="18"/>
                <w:szCs w:val="18"/>
                <w:u w:val="double"/>
                <w:lang w:val="en-US"/>
              </w:rPr>
            </w:pPr>
            <w:r w:rsidRPr="00A547B4">
              <w:rPr>
                <w:rFonts w:ascii="Söhne" w:eastAsia="Times New Roman" w:hAnsi="Söhne" w:cs="Arial"/>
                <w:bCs/>
                <w:sz w:val="18"/>
                <w:szCs w:val="18"/>
                <w:u w:val="double"/>
                <w:lang w:val="it-IT"/>
              </w:rPr>
              <w:t>Argentine stiletto shrimp</w:t>
            </w:r>
          </w:p>
        </w:tc>
      </w:tr>
      <w:tr w:rsidR="00983C95" w:rsidRPr="00A547B4" w14:paraId="5D2719F4" w14:textId="77777777" w:rsidTr="005E584A">
        <w:trPr>
          <w:jc w:val="center"/>
        </w:trPr>
        <w:tc>
          <w:tcPr>
            <w:tcW w:w="3256" w:type="dxa"/>
            <w:vAlign w:val="center"/>
          </w:tcPr>
          <w:p w14:paraId="5E479723" w14:textId="77777777" w:rsidR="00983C95" w:rsidRPr="00A547B4" w:rsidRDefault="00983C95" w:rsidP="005E584A">
            <w:pPr>
              <w:spacing w:after="0" w:line="240" w:lineRule="auto"/>
              <w:jc w:val="center"/>
              <w:rPr>
                <w:rFonts w:ascii="Söhne" w:eastAsia="Söhne" w:hAnsi="Söhne" w:cs="Söhne"/>
                <w:sz w:val="18"/>
                <w:szCs w:val="18"/>
                <w:highlight w:val="yellow"/>
                <w:lang w:val="it-IT"/>
              </w:rPr>
            </w:pPr>
            <w:r w:rsidRPr="00A547B4">
              <w:rPr>
                <w:rFonts w:ascii="Söhne" w:eastAsia="Helvetica Neue" w:hAnsi="Söhne" w:cs="Arial"/>
                <w:strike/>
                <w:color w:val="000000" w:themeColor="text1"/>
                <w:sz w:val="18"/>
                <w:szCs w:val="18"/>
                <w:highlight w:val="yellow"/>
                <w:lang w:val="it-IT"/>
              </w:rPr>
              <w:t xml:space="preserve">Portunoidea </w:t>
            </w:r>
            <w:r w:rsidRPr="00A547B4">
              <w:rPr>
                <w:rFonts w:ascii="Söhne" w:eastAsia="Helvetica Neue" w:hAnsi="Söhne" w:cs="Arial"/>
                <w:color w:val="000000" w:themeColor="text1"/>
                <w:sz w:val="18"/>
                <w:szCs w:val="18"/>
                <w:highlight w:val="yellow"/>
                <w:u w:val="double"/>
                <w:lang w:val="it-IT"/>
              </w:rPr>
              <w:t>Portunidae</w:t>
            </w:r>
          </w:p>
        </w:tc>
        <w:tc>
          <w:tcPr>
            <w:tcW w:w="2976" w:type="dxa"/>
            <w:shd w:val="clear" w:color="auto" w:fill="auto"/>
            <w:vAlign w:val="center"/>
          </w:tcPr>
          <w:p w14:paraId="7B7DF1D4"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Times New Roman" w:hAnsi="Söhne" w:cs="Arial"/>
                <w:bCs/>
                <w:i/>
                <w:sz w:val="18"/>
                <w:szCs w:val="18"/>
                <w:u w:val="double"/>
                <w:lang w:val="en-US"/>
              </w:rPr>
            </w:pPr>
            <w:r w:rsidRPr="00A547B4">
              <w:rPr>
                <w:rFonts w:ascii="Söhne" w:eastAsia="Times New Roman" w:hAnsi="Söhne" w:cs="Arial"/>
                <w:bCs/>
                <w:i/>
                <w:sz w:val="18"/>
                <w:szCs w:val="18"/>
                <w:u w:val="double"/>
                <w:lang w:val="en-US"/>
              </w:rPr>
              <w:t>Callinectes arcuatus</w:t>
            </w:r>
          </w:p>
        </w:tc>
        <w:tc>
          <w:tcPr>
            <w:tcW w:w="2694" w:type="dxa"/>
            <w:vAlign w:val="center"/>
          </w:tcPr>
          <w:p w14:paraId="29B3433C"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Cs/>
                <w:color w:val="000000"/>
                <w:sz w:val="18"/>
                <w:szCs w:val="18"/>
                <w:u w:val="double"/>
                <w:bdr w:val="nil"/>
                <w:lang w:val="en-GB" w:bidi="en-US"/>
              </w:rPr>
            </w:pPr>
            <w:r w:rsidRPr="00A547B4">
              <w:rPr>
                <w:rFonts w:ascii="Söhne" w:eastAsia="Times New Roman" w:hAnsi="Söhne" w:cs="Arial"/>
                <w:bCs/>
                <w:sz w:val="18"/>
                <w:szCs w:val="18"/>
                <w:u w:val="double"/>
                <w:lang w:val="en-US"/>
              </w:rPr>
              <w:t>Cuata swimcrab</w:t>
            </w:r>
          </w:p>
        </w:tc>
      </w:tr>
      <w:tr w:rsidR="00983C95" w:rsidRPr="00A547B4" w14:paraId="398CC4EE" w14:textId="77777777" w:rsidTr="005E584A">
        <w:trPr>
          <w:jc w:val="center"/>
        </w:trPr>
        <w:tc>
          <w:tcPr>
            <w:tcW w:w="3256" w:type="dxa"/>
            <w:vAlign w:val="center"/>
          </w:tcPr>
          <w:p w14:paraId="401B9895"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000000"/>
                <w:sz w:val="18"/>
                <w:szCs w:val="18"/>
                <w:u w:val="double"/>
                <w:bdr w:val="nil"/>
                <w:lang w:val="en-GB"/>
              </w:rPr>
            </w:pPr>
            <w:r w:rsidRPr="00A547B4">
              <w:rPr>
                <w:rFonts w:ascii="Söhne" w:eastAsia="Helvetica Neue" w:hAnsi="Söhne" w:cs="Arial"/>
                <w:color w:val="000000"/>
                <w:sz w:val="18"/>
                <w:szCs w:val="18"/>
                <w:u w:val="double"/>
                <w:bdr w:val="nil"/>
                <w:lang w:val="en-GB"/>
              </w:rPr>
              <w:t>Varunidae</w:t>
            </w:r>
          </w:p>
        </w:tc>
        <w:tc>
          <w:tcPr>
            <w:tcW w:w="2976" w:type="dxa"/>
            <w:shd w:val="clear" w:color="auto" w:fill="auto"/>
            <w:vAlign w:val="center"/>
          </w:tcPr>
          <w:p w14:paraId="7DB95807"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color w:val="000000"/>
                <w:sz w:val="18"/>
                <w:szCs w:val="18"/>
                <w:u w:val="double"/>
                <w:bdr w:val="nil"/>
                <w:lang w:val="en-GB"/>
              </w:rPr>
            </w:pPr>
            <w:r w:rsidRPr="00A547B4">
              <w:rPr>
                <w:rFonts w:ascii="Söhne" w:eastAsia="Times New Roman" w:hAnsi="Söhne" w:cs="Arial"/>
                <w:bCs/>
                <w:i/>
                <w:sz w:val="18"/>
                <w:szCs w:val="18"/>
                <w:u w:val="double"/>
                <w:lang w:val="en-US"/>
              </w:rPr>
              <w:t>Hemigrapsus penicillatus</w:t>
            </w:r>
          </w:p>
        </w:tc>
        <w:tc>
          <w:tcPr>
            <w:tcW w:w="2694" w:type="dxa"/>
            <w:vAlign w:val="center"/>
          </w:tcPr>
          <w:p w14:paraId="4A7304D2" w14:textId="77777777" w:rsidR="00983C95" w:rsidRPr="00A547B4" w:rsidRDefault="00983C95" w:rsidP="005E584A">
            <w:pPr>
              <w:pBdr>
                <w:top w:val="nil"/>
                <w:left w:val="nil"/>
                <w:bottom w:val="nil"/>
                <w:right w:val="nil"/>
                <w:between w:val="nil"/>
                <w:bar w:val="nil"/>
              </w:pBdr>
              <w:spacing w:after="0" w:line="240" w:lineRule="auto"/>
              <w:jc w:val="center"/>
              <w:rPr>
                <w:rFonts w:ascii="Söhne" w:eastAsia="Helvetica Neue" w:hAnsi="Söhne" w:cs="Arial"/>
                <w:bCs/>
                <w:iCs/>
                <w:color w:val="000000"/>
                <w:sz w:val="18"/>
                <w:szCs w:val="18"/>
                <w:u w:val="double"/>
                <w:bdr w:val="nil"/>
                <w:lang w:val="en-GB" w:bidi="en-US"/>
              </w:rPr>
            </w:pPr>
          </w:p>
        </w:tc>
      </w:tr>
    </w:tbl>
    <w:p w14:paraId="686BB3BA" w14:textId="77777777" w:rsidR="00983C95" w:rsidRPr="00A547B4" w:rsidRDefault="00983C95" w:rsidP="00983C95">
      <w:pPr>
        <w:spacing w:before="240" w:after="120" w:line="240" w:lineRule="auto"/>
        <w:ind w:left="1418" w:hanging="567"/>
        <w:jc w:val="both"/>
        <w:rPr>
          <w:rFonts w:ascii="Söhne Kräftig" w:eastAsia="Times New Roman" w:hAnsi="Söhne Kräftig" w:cs="Times New Roman"/>
          <w:bCs/>
          <w:sz w:val="18"/>
          <w:szCs w:val="18"/>
          <w:lang w:val="en-GB" w:eastAsia="fr-FR"/>
        </w:rPr>
      </w:pPr>
      <w:r w:rsidRPr="00A547B4">
        <w:rPr>
          <w:rFonts w:ascii="Söhne Kräftig" w:eastAsia="Times New Roman" w:hAnsi="Söhne Kräftig" w:cs="Times New Roman"/>
          <w:bCs/>
          <w:sz w:val="18"/>
          <w:szCs w:val="18"/>
          <w:lang w:val="en-GB" w:eastAsia="fr-FR"/>
        </w:rPr>
        <w:t>2.2.3.</w:t>
      </w:r>
      <w:r w:rsidRPr="00A547B4">
        <w:rPr>
          <w:rFonts w:ascii="Söhne Kräftig" w:eastAsia="Times New Roman" w:hAnsi="Söhne Kräftig" w:cs="Times New Roman"/>
          <w:bCs/>
          <w:sz w:val="18"/>
          <w:szCs w:val="18"/>
          <w:lang w:val="en-GB" w:eastAsia="fr-FR"/>
        </w:rPr>
        <w:tab/>
        <w:t>Likelihood of infection by species, host life stage, population or sub-populations</w:t>
      </w:r>
    </w:p>
    <w:p w14:paraId="06DADB8A" w14:textId="77777777" w:rsidR="00983C95" w:rsidRPr="00A547B4" w:rsidRDefault="00983C95" w:rsidP="00983C95">
      <w:pPr>
        <w:spacing w:after="240" w:line="240" w:lineRule="auto"/>
        <w:ind w:left="851"/>
        <w:jc w:val="both"/>
        <w:rPr>
          <w:rFonts w:ascii="Söhne" w:eastAsia="Times New Roman" w:hAnsi="Söhne" w:cs="Times New Roman"/>
          <w:bCs/>
          <w:sz w:val="18"/>
          <w:szCs w:val="18"/>
          <w:lang w:val="en-IE"/>
        </w:rPr>
      </w:pPr>
      <w:r w:rsidRPr="00A547B4">
        <w:rPr>
          <w:rFonts w:ascii="Söhne" w:eastAsia="Times New Roman" w:hAnsi="Söhne" w:cs="Times New Roman"/>
          <w:bCs/>
          <w:sz w:val="18"/>
          <w:szCs w:val="18"/>
          <w:lang w:val="en-IE"/>
        </w:rPr>
        <w:t xml:space="preserve">IHHNV has been detected in all life stages (i.e. eggs, larvae, postlarvae, juveniles and adults) of </w:t>
      </w:r>
      <w:r w:rsidRPr="00A547B4">
        <w:rPr>
          <w:rFonts w:ascii="Söhne" w:eastAsia="Times New Roman" w:hAnsi="Söhne" w:cs="Times New Roman"/>
          <w:bCs/>
          <w:i/>
          <w:sz w:val="18"/>
          <w:szCs w:val="18"/>
          <w:lang w:val="en-IE"/>
        </w:rPr>
        <w:t>P. vannamei.</w:t>
      </w:r>
      <w:r w:rsidRPr="00A547B4">
        <w:rPr>
          <w:rFonts w:ascii="Söhne" w:eastAsia="Times New Roman" w:hAnsi="Söhne" w:cs="Times New Roman"/>
          <w:bCs/>
          <w:sz w:val="18"/>
          <w:szCs w:val="18"/>
          <w:lang w:val="en-IE"/>
        </w:rPr>
        <w:t xml:space="preserve"> Nauplii produced from infected broodstock have a high prevalence of infection with IHHNV (Motte </w:t>
      </w:r>
      <w:r w:rsidRPr="00A547B4">
        <w:rPr>
          <w:rFonts w:ascii="Söhne" w:eastAsia="Times New Roman" w:hAnsi="Söhne" w:cs="Times New Roman"/>
          <w:bCs/>
          <w:i/>
          <w:iCs/>
          <w:sz w:val="18"/>
          <w:szCs w:val="18"/>
          <w:lang w:val="en-IE"/>
        </w:rPr>
        <w:t>et al.,</w:t>
      </w:r>
      <w:r w:rsidRPr="00A547B4">
        <w:rPr>
          <w:rFonts w:ascii="Söhne" w:eastAsia="Times New Roman" w:hAnsi="Söhne" w:cs="Times New Roman"/>
          <w:bCs/>
          <w:sz w:val="18"/>
          <w:szCs w:val="18"/>
          <w:lang w:val="en-IE"/>
        </w:rPr>
        <w:t xml:space="preserve"> 2003).</w:t>
      </w:r>
    </w:p>
    <w:p w14:paraId="1524DF01"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18"/>
          <w:szCs w:val="18"/>
          <w:lang w:val="en-GB" w:eastAsia="fr-FR"/>
        </w:rPr>
        <w:t>2.2.4.</w:t>
      </w:r>
      <w:r w:rsidRPr="00A547B4">
        <w:rPr>
          <w:rFonts w:ascii="Söhne Kräftig" w:eastAsia="Times New Roman" w:hAnsi="Söhne Kräftig" w:cs="Times New Roman"/>
          <w:bCs/>
          <w:sz w:val="18"/>
          <w:szCs w:val="18"/>
          <w:lang w:val="en-GB" w:eastAsia="fr-FR"/>
        </w:rPr>
        <w:tab/>
        <w:t>Distribution of the</w:t>
      </w:r>
      <w:r w:rsidRPr="00A547B4">
        <w:rPr>
          <w:rFonts w:ascii="Söhne Kräftig" w:eastAsia="Times New Roman" w:hAnsi="Söhne Kräftig" w:cs="Times New Roman"/>
          <w:bCs/>
          <w:sz w:val="20"/>
          <w:lang w:val="en-GB" w:eastAsia="fr-FR"/>
        </w:rPr>
        <w:t xml:space="preserve"> pathogen in the host</w:t>
      </w:r>
    </w:p>
    <w:p w14:paraId="428BE0BC"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hint="eastAsia"/>
          <w:bCs/>
          <w:sz w:val="18"/>
          <w:lang w:val="en-IE"/>
        </w:rPr>
        <w:t>I</w:t>
      </w:r>
      <w:r w:rsidRPr="00A547B4">
        <w:rPr>
          <w:rFonts w:ascii="Söhne" w:eastAsia="Times New Roman" w:hAnsi="Söhne" w:cs="Times New Roman"/>
          <w:bCs/>
          <w:sz w:val="18"/>
          <w:lang w:val="en-IE"/>
        </w:rPr>
        <w:t>HHNV targets gills, haematopoietic nodules and haemocytes, ventral nerve cord and ganglia, antennal gland tubule epithelial cells, lymphoid organ, parenchymal cells, connective tissue cells and ovaries (Chayaburakul, 2005; Lightner, 1996; Lightner &amp; Redman, 1998).</w:t>
      </w:r>
    </w:p>
    <w:p w14:paraId="0B396F0E"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2.2.5.</w:t>
      </w:r>
      <w:r w:rsidRPr="00A547B4">
        <w:rPr>
          <w:rFonts w:ascii="Söhne Kräftig" w:eastAsia="Times New Roman" w:hAnsi="Söhne Kräftig" w:cs="Times New Roman"/>
          <w:bCs/>
          <w:sz w:val="20"/>
          <w:lang w:val="en-GB" w:eastAsia="fr-FR"/>
        </w:rPr>
        <w:tab/>
        <w:t xml:space="preserve">Aquatic animal reservoirs of infection </w:t>
      </w:r>
    </w:p>
    <w:p w14:paraId="35662EFF"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Some members of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and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populations that survive IHHNV infection may carry the virus subclinically and infect their progeny or other populations by vertical and horizontal transmission (Bell &amp; Lightner, 1984; Lightner, 1996; Motte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2003).</w:t>
      </w:r>
    </w:p>
    <w:p w14:paraId="2C25CE58"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lastRenderedPageBreak/>
        <w:t>2.2.6.</w:t>
      </w:r>
      <w:r w:rsidRPr="00A547B4">
        <w:rPr>
          <w:rFonts w:ascii="Söhne Kräftig" w:eastAsia="Times New Roman" w:hAnsi="Söhne Kräftig" w:cs="Times New Roman"/>
          <w:bCs/>
          <w:sz w:val="20"/>
          <w:lang w:val="en-GB" w:eastAsia="fr-FR"/>
        </w:rPr>
        <w:tab/>
        <w:t>Vectors</w:t>
      </w:r>
    </w:p>
    <w:p w14:paraId="4169DA6A"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sidDel="00B1631C">
        <w:rPr>
          <w:rFonts w:ascii="Söhne" w:eastAsia="Times New Roman" w:hAnsi="Söhne" w:cs="Times New Roman"/>
          <w:bCs/>
          <w:sz w:val="18"/>
          <w:lang w:val="en-IE"/>
        </w:rPr>
        <w:t xml:space="preserve">IHHNV </w:t>
      </w:r>
      <w:r w:rsidRPr="00A547B4">
        <w:rPr>
          <w:rFonts w:ascii="Söhne" w:eastAsia="Times New Roman" w:hAnsi="Söhne" w:cs="Times New Roman"/>
          <w:bCs/>
          <w:strike/>
          <w:sz w:val="18"/>
          <w:lang w:val="en-IE"/>
        </w:rPr>
        <w:t>was found in wild crab</w:t>
      </w:r>
      <w:r w:rsidRPr="00A547B4">
        <w:rPr>
          <w:rFonts w:ascii="Söhne" w:eastAsia="Times New Roman" w:hAnsi="Söhne" w:cs="Times New Roman"/>
          <w:bCs/>
          <w:sz w:val="18"/>
          <w:lang w:val="en-IE"/>
        </w:rPr>
        <w:t>s</w:t>
      </w:r>
      <w:r w:rsidRPr="00A547B4">
        <w:rPr>
          <w:rFonts w:ascii="Söhne" w:eastAsia="Times New Roman" w:hAnsi="Söhne" w:cs="Times New Roman"/>
          <w:bCs/>
          <w:strike/>
          <w:sz w:val="18"/>
          <w:lang w:val="en-IE"/>
        </w:rPr>
        <w:t xml:space="preserve"> </w:t>
      </w:r>
      <w:r w:rsidRPr="00A547B4">
        <w:rPr>
          <w:rFonts w:ascii="Söhne" w:eastAsia="Times New Roman" w:hAnsi="Söhne" w:cs="Times New Roman"/>
          <w:bCs/>
          <w:sz w:val="18"/>
          <w:u w:val="double"/>
          <w:lang w:val="en-IE"/>
        </w:rPr>
        <w:t xml:space="preserve">has been detected in many crustacean and non-crustacean species however their </w:t>
      </w:r>
      <w:r w:rsidRPr="00A547B4">
        <w:rPr>
          <w:rFonts w:ascii="Söhne" w:eastAsia="Times New Roman" w:hAnsi="Söhne" w:cs="Times New Roman"/>
          <w:bCs/>
          <w:strike/>
          <w:sz w:val="18"/>
          <w:lang w:val="en-IE"/>
        </w:rPr>
        <w:t>(</w:t>
      </w:r>
      <w:r w:rsidRPr="00A547B4">
        <w:rPr>
          <w:rFonts w:ascii="Söhne" w:eastAsia="Times New Roman" w:hAnsi="Söhne" w:cs="Times New Roman"/>
          <w:bCs/>
          <w:i/>
          <w:strike/>
          <w:sz w:val="18"/>
          <w:lang w:val="en-IE"/>
        </w:rPr>
        <w:t>Hemigrapsus penicillatus</w:t>
      </w:r>
      <w:r w:rsidRPr="00A547B4">
        <w:rPr>
          <w:rFonts w:ascii="Söhne" w:eastAsia="Times New Roman" w:hAnsi="Söhne" w:cs="Times New Roman"/>
          <w:bCs/>
          <w:strike/>
          <w:sz w:val="18"/>
          <w:lang w:val="en-IE"/>
        </w:rPr>
        <w:t xml:space="preserve">, </w:t>
      </w:r>
      <w:r w:rsidRPr="00A547B4">
        <w:rPr>
          <w:rFonts w:ascii="Söhne" w:eastAsia="Times New Roman" w:hAnsi="Söhne" w:cs="Times New Roman"/>
          <w:bCs/>
          <w:i/>
          <w:strike/>
          <w:sz w:val="18"/>
          <w:lang w:val="en-IE"/>
        </w:rPr>
        <w:t>Neohelice granulata</w:t>
      </w:r>
      <w:r w:rsidRPr="00A547B4">
        <w:rPr>
          <w:rFonts w:ascii="Söhne" w:eastAsia="Times New Roman" w:hAnsi="Söhne" w:cs="Times New Roman"/>
          <w:bCs/>
          <w:strike/>
          <w:sz w:val="18"/>
          <w:lang w:val="en-IE"/>
        </w:rPr>
        <w:t xml:space="preserve">), but there were no clinical signs. Adults of </w:t>
      </w:r>
      <w:r w:rsidRPr="00A547B4">
        <w:rPr>
          <w:rFonts w:ascii="Söhne" w:eastAsia="Times New Roman" w:hAnsi="Söhne" w:cs="Times New Roman"/>
          <w:bCs/>
          <w:i/>
          <w:strike/>
          <w:sz w:val="18"/>
          <w:lang w:val="en-IE"/>
        </w:rPr>
        <w:t>Macrobrachium rosenbergii</w:t>
      </w:r>
      <w:r w:rsidRPr="00A547B4">
        <w:rPr>
          <w:rFonts w:ascii="Söhne" w:eastAsia="Times New Roman" w:hAnsi="Söhne" w:cs="Times New Roman"/>
          <w:bCs/>
          <w:strike/>
          <w:sz w:val="18"/>
          <w:lang w:val="en-IE"/>
        </w:rPr>
        <w:t xml:space="preserve"> are carriers of IHHNV without apparent signs. Although the mussel </w:t>
      </w:r>
      <w:r w:rsidRPr="00A547B4">
        <w:rPr>
          <w:rFonts w:ascii="Söhne" w:eastAsia="Times New Roman" w:hAnsi="Söhne" w:cs="Times New Roman"/>
          <w:bCs/>
          <w:i/>
          <w:strike/>
          <w:sz w:val="18"/>
          <w:lang w:val="en-IE"/>
        </w:rPr>
        <w:t xml:space="preserve">Mytilus edulis </w:t>
      </w:r>
      <w:r w:rsidRPr="00A547B4">
        <w:rPr>
          <w:rFonts w:ascii="Söhne" w:eastAsia="Times New Roman" w:hAnsi="Söhne" w:cs="Times New Roman"/>
          <w:bCs/>
          <w:strike/>
          <w:sz w:val="18"/>
          <w:lang w:val="en-IE"/>
        </w:rPr>
        <w:t>is an important</w:t>
      </w:r>
      <w:r w:rsidRPr="00A547B4">
        <w:rPr>
          <w:rFonts w:ascii="Söhne" w:eastAsia="Times New Roman" w:hAnsi="Söhne" w:cs="Times New Roman" w:hint="eastAsia"/>
          <w:bCs/>
          <w:strike/>
          <w:sz w:val="18"/>
          <w:lang w:val="en-IE"/>
        </w:rPr>
        <w:t xml:space="preserve"> </w:t>
      </w:r>
      <w:r w:rsidRPr="00A547B4">
        <w:rPr>
          <w:rFonts w:ascii="Söhne" w:eastAsia="Times New Roman" w:hAnsi="Söhne" w:cs="Times New Roman"/>
          <w:bCs/>
          <w:strike/>
          <w:sz w:val="18"/>
          <w:lang w:val="en-IE"/>
        </w:rPr>
        <w:t xml:space="preserve">reservoir of IHHNV (Wei </w:t>
      </w:r>
      <w:r w:rsidRPr="00A547B4">
        <w:rPr>
          <w:rFonts w:ascii="Söhne" w:eastAsia="Times New Roman" w:hAnsi="Söhne" w:cs="Times New Roman"/>
          <w:bCs/>
          <w:i/>
          <w:iCs/>
          <w:strike/>
          <w:sz w:val="18"/>
          <w:lang w:val="en-IE"/>
        </w:rPr>
        <w:t>et al.,</w:t>
      </w:r>
      <w:r w:rsidRPr="00A547B4">
        <w:rPr>
          <w:rFonts w:ascii="Söhne" w:eastAsia="Times New Roman" w:hAnsi="Söhne" w:cs="Times New Roman"/>
          <w:bCs/>
          <w:strike/>
          <w:sz w:val="18"/>
          <w:lang w:val="en-IE"/>
        </w:rPr>
        <w:t xml:space="preserve"> 2017), its</w:t>
      </w:r>
      <w:r w:rsidRPr="00A547B4">
        <w:rPr>
          <w:rFonts w:ascii="Söhne" w:eastAsia="Times New Roman" w:hAnsi="Söhne" w:cs="Times New Roman"/>
          <w:bCs/>
          <w:sz w:val="18"/>
          <w:lang w:val="en-IE"/>
        </w:rPr>
        <w:t xml:space="preserve"> </w:t>
      </w:r>
      <w:r w:rsidRPr="00A547B4" w:rsidDel="00026970">
        <w:rPr>
          <w:rFonts w:ascii="Söhne" w:eastAsia="Times New Roman" w:hAnsi="Söhne" w:cs="Times New Roman"/>
          <w:bCs/>
          <w:sz w:val="18"/>
          <w:lang w:val="en-IE"/>
        </w:rPr>
        <w:t xml:space="preserve">capacity to transmit virus is unknown. </w:t>
      </w:r>
    </w:p>
    <w:p w14:paraId="14ECE32F"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2.3.</w:t>
      </w:r>
      <w:r w:rsidRPr="00A547B4">
        <w:rPr>
          <w:rFonts w:ascii="Söhne Kräftig" w:eastAsia="MS Mincho" w:hAnsi="Söhne Kräftig" w:cs="Times New Roman"/>
          <w:sz w:val="21"/>
          <w:szCs w:val="20"/>
          <w:lang w:val="da-DK" w:eastAsia="da-DK"/>
        </w:rPr>
        <w:tab/>
        <w:t>Disease pattern</w:t>
      </w:r>
    </w:p>
    <w:p w14:paraId="5ED45146"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2.3.1.</w:t>
      </w:r>
      <w:r w:rsidRPr="00A547B4">
        <w:rPr>
          <w:rFonts w:ascii="Söhne Kräftig" w:eastAsia="Times New Roman" w:hAnsi="Söhne Kräftig" w:cs="Times New Roman"/>
          <w:bCs/>
          <w:sz w:val="20"/>
          <w:lang w:val="en-GB" w:eastAsia="fr-FR"/>
        </w:rPr>
        <w:tab/>
        <w:t>Mortality, morbidity and prevalence</w:t>
      </w:r>
    </w:p>
    <w:p w14:paraId="123EC40C" w14:textId="77777777" w:rsidR="00983C95" w:rsidRPr="00A547B4" w:rsidRDefault="00983C95" w:rsidP="00983C95">
      <w:pPr>
        <w:spacing w:after="240" w:line="240" w:lineRule="auto"/>
        <w:ind w:left="851"/>
        <w:jc w:val="both"/>
        <w:rPr>
          <w:rFonts w:ascii="Söhne" w:eastAsia="FangSong" w:hAnsi="Söhne" w:cs="Arial"/>
          <w:bCs/>
          <w:sz w:val="18"/>
          <w:szCs w:val="18"/>
          <w:u w:val="double"/>
          <w:lang w:val="en-IE"/>
        </w:rPr>
      </w:pPr>
      <w:r w:rsidRPr="00A547B4">
        <w:rPr>
          <w:rFonts w:ascii="Söhne" w:eastAsia="Times New Roman" w:hAnsi="Söhne" w:cs="Times New Roman"/>
          <w:bCs/>
          <w:sz w:val="18"/>
          <w:lang w:val="en-IE"/>
        </w:rPr>
        <w:t xml:space="preserve">The effects of infection with IHHNV varies among shrimp species and populations, where infections can be either acute or chronic. For example, in unselected populations of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infection with IHHNV results in acute, usually catastrophic, disease with mortalities approaching 100%. </w:t>
      </w:r>
      <w:r w:rsidRPr="00A547B4">
        <w:rPr>
          <w:rFonts w:ascii="Söhne" w:eastAsia="FangSong" w:hAnsi="Söhne" w:cs="Arial"/>
          <w:bCs/>
          <w:sz w:val="18"/>
          <w:szCs w:val="18"/>
          <w:u w:val="double"/>
          <w:lang w:val="en-IE"/>
        </w:rPr>
        <w:t xml:space="preserve">Vertically infected larvae and early postlarvae do not become diseased, but in approximately 35-day-old or older juveniles, gross signs of the disease may be observed, followed by mass mortalities. In horizontally infected juveniles, the incubation period and severity of the disease is somewhat size- or age-dependent, with young juveniles always being the most severely affected. Infected adults seldom show signs of the disease or mortalities (Bell &amp; Lightner, 1984; 1987; Lightner, 1996; Lightner </w:t>
      </w:r>
      <w:r w:rsidRPr="00A547B4">
        <w:rPr>
          <w:rFonts w:ascii="Söhne" w:eastAsia="FangSong" w:hAnsi="Söhne" w:cs="Arial"/>
          <w:bCs/>
          <w:i/>
          <w:iCs/>
          <w:sz w:val="18"/>
          <w:szCs w:val="18"/>
          <w:u w:val="double"/>
          <w:lang w:val="en-IE"/>
        </w:rPr>
        <w:t>et al.,</w:t>
      </w:r>
      <w:r w:rsidRPr="00A547B4">
        <w:rPr>
          <w:rFonts w:ascii="Söhne" w:eastAsia="FangSong" w:hAnsi="Söhne" w:cs="Arial"/>
          <w:bCs/>
          <w:sz w:val="18"/>
          <w:szCs w:val="18"/>
          <w:u w:val="double"/>
          <w:lang w:val="en-IE"/>
        </w:rPr>
        <w:t xml:space="preserve"> 1983). </w:t>
      </w:r>
    </w:p>
    <w:p w14:paraId="0CF3BD21"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In contrast, in populations of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some selected lines of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and some populations of </w:t>
      </w:r>
      <w:r w:rsidRPr="00A547B4">
        <w:rPr>
          <w:rFonts w:ascii="Söhne" w:eastAsia="Times New Roman" w:hAnsi="Söhne" w:cs="Times New Roman"/>
          <w:bCs/>
          <w:i/>
          <w:sz w:val="18"/>
          <w:lang w:val="en-IE"/>
        </w:rPr>
        <w:t>P. monodon</w:t>
      </w:r>
      <w:r w:rsidRPr="00A547B4">
        <w:rPr>
          <w:rFonts w:ascii="Söhne" w:eastAsia="Times New Roman" w:hAnsi="Söhne" w:cs="Times New Roman"/>
          <w:bCs/>
          <w:sz w:val="18"/>
          <w:lang w:val="en-IE"/>
        </w:rPr>
        <w:t xml:space="preserve">, infection with IHHNV results in a more subtle, chronic disease, runt-deformity syndrome (RDS), in which high mortalities are unusual, but where growth suppression and cuticular deformities are common (Kalagayan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1991; Sellars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2019). </w:t>
      </w:r>
      <w:r w:rsidRPr="00A547B4">
        <w:rPr>
          <w:rFonts w:ascii="Söhne" w:eastAsia="FangSong" w:hAnsi="Söhne" w:cs="Arial"/>
          <w:bCs/>
          <w:sz w:val="18"/>
          <w:szCs w:val="18"/>
          <w:lang w:val="en-IE"/>
        </w:rPr>
        <w:t xml:space="preserve">The severity and prevalence of RDS in infected populations of juvenile or older </w:t>
      </w:r>
      <w:r w:rsidRPr="00A547B4">
        <w:rPr>
          <w:rFonts w:ascii="Söhne" w:eastAsia="FangSong" w:hAnsi="Söhne" w:cs="Arial"/>
          <w:bCs/>
          <w:i/>
          <w:iCs/>
          <w:sz w:val="18"/>
          <w:szCs w:val="18"/>
          <w:lang w:val="en-IE"/>
        </w:rPr>
        <w:t>P. vannamei</w:t>
      </w:r>
      <w:r w:rsidRPr="00A547B4">
        <w:rPr>
          <w:rFonts w:ascii="Söhne" w:eastAsia="FangSong" w:hAnsi="Söhne" w:cs="Arial"/>
          <w:bCs/>
          <w:sz w:val="18"/>
          <w:szCs w:val="18"/>
          <w:lang w:val="en-IE"/>
        </w:rPr>
        <w:t xml:space="preserve"> may be related to infection during the larval or early postlarval stages. </w:t>
      </w:r>
    </w:p>
    <w:p w14:paraId="7DAB5A60" w14:textId="77777777" w:rsidR="00983C95" w:rsidRPr="00A547B4" w:rsidRDefault="00983C95" w:rsidP="00983C95">
      <w:pPr>
        <w:spacing w:after="240" w:line="240" w:lineRule="auto"/>
        <w:ind w:left="851"/>
        <w:jc w:val="both"/>
        <w:rPr>
          <w:rFonts w:ascii="Söhne" w:eastAsia="Times New Roman" w:hAnsi="Söhne" w:cs="Times New Roman"/>
          <w:bCs/>
          <w:strike/>
          <w:sz w:val="18"/>
          <w:lang w:val="en-IE"/>
        </w:rPr>
      </w:pPr>
      <w:r w:rsidRPr="00A547B4">
        <w:rPr>
          <w:rFonts w:ascii="Söhne" w:eastAsia="Times New Roman" w:hAnsi="Söhne" w:cs="Times New Roman"/>
          <w:bCs/>
          <w:strike/>
          <w:sz w:val="18"/>
          <w:lang w:val="en-IE"/>
        </w:rPr>
        <w:t>Infection with IHHNV interferes with normal egg</w:t>
      </w:r>
      <w:r w:rsidRPr="00A547B4">
        <w:rPr>
          <w:rFonts w:ascii="Söhne" w:eastAsia="Times New Roman" w:hAnsi="Söhne" w:cs="Arial"/>
          <w:bCs/>
          <w:strike/>
          <w:sz w:val="18"/>
          <w:szCs w:val="18"/>
          <w:lang w:val="en-IE"/>
        </w:rPr>
        <w:t>, larval,</w:t>
      </w:r>
      <w:r w:rsidRPr="00A547B4">
        <w:rPr>
          <w:rFonts w:ascii="Söhne" w:eastAsia="Times New Roman" w:hAnsi="Söhne" w:cs="Times New Roman"/>
          <w:bCs/>
          <w:strike/>
          <w:sz w:val="18"/>
          <w:lang w:val="en-IE"/>
        </w:rPr>
        <w:t xml:space="preserve"> and </w:t>
      </w:r>
      <w:r w:rsidRPr="00A547B4">
        <w:rPr>
          <w:rFonts w:ascii="Söhne" w:eastAsia="Times New Roman" w:hAnsi="Söhne" w:cs="Arial"/>
          <w:bCs/>
          <w:strike/>
          <w:sz w:val="18"/>
          <w:szCs w:val="18"/>
          <w:lang w:val="en-IE"/>
        </w:rPr>
        <w:t>post</w:t>
      </w:r>
      <w:r w:rsidRPr="00A547B4">
        <w:rPr>
          <w:rFonts w:ascii="Söhne" w:eastAsia="Times New Roman" w:hAnsi="Söhne" w:cs="Times New Roman"/>
          <w:bCs/>
          <w:strike/>
          <w:sz w:val="18"/>
          <w:lang w:val="en-IE"/>
        </w:rPr>
        <w:t>larval development</w:t>
      </w:r>
      <w:r w:rsidRPr="00A547B4">
        <w:rPr>
          <w:rFonts w:ascii="Söhne" w:eastAsia="Times New Roman" w:hAnsi="Söhne" w:cs="Arial"/>
          <w:bCs/>
          <w:strike/>
          <w:sz w:val="18"/>
          <w:szCs w:val="18"/>
          <w:lang w:val="en-IE"/>
        </w:rPr>
        <w:t>. When broodstock are used from wild or farmed stocks where the disease is enzootic,</w:t>
      </w:r>
      <w:r w:rsidRPr="00A547B4">
        <w:rPr>
          <w:rFonts w:ascii="Söhne" w:eastAsia="Times New Roman" w:hAnsi="Söhne" w:cs="Times New Roman"/>
          <w:bCs/>
          <w:strike/>
          <w:sz w:val="18"/>
          <w:lang w:val="en-IE"/>
        </w:rPr>
        <w:t xml:space="preserve"> hatching success of eggs</w:t>
      </w:r>
      <w:r w:rsidRPr="00A547B4">
        <w:rPr>
          <w:rFonts w:ascii="Söhne" w:eastAsia="Times New Roman" w:hAnsi="Söhne" w:cs="Arial"/>
          <w:bCs/>
          <w:strike/>
          <w:sz w:val="18"/>
          <w:szCs w:val="18"/>
          <w:lang w:val="en-IE"/>
        </w:rPr>
        <w:t xml:space="preserve"> may be reduced</w:t>
      </w:r>
      <w:r w:rsidRPr="00A547B4">
        <w:rPr>
          <w:rFonts w:ascii="Söhne" w:eastAsia="Times New Roman" w:hAnsi="Söhne" w:cs="Times New Roman"/>
          <w:bCs/>
          <w:strike/>
          <w:sz w:val="18"/>
          <w:lang w:val="en-IE"/>
        </w:rPr>
        <w:t xml:space="preserve">, and survival and culture performance of the larval and </w:t>
      </w:r>
      <w:r w:rsidRPr="00A547B4">
        <w:rPr>
          <w:rFonts w:ascii="Söhne" w:eastAsia="Times New Roman" w:hAnsi="Söhne" w:cs="Arial"/>
          <w:bCs/>
          <w:strike/>
          <w:sz w:val="18"/>
          <w:szCs w:val="18"/>
          <w:lang w:val="en-IE"/>
        </w:rPr>
        <w:t>postlarval</w:t>
      </w:r>
      <w:r w:rsidRPr="00A547B4">
        <w:rPr>
          <w:rFonts w:ascii="Söhne" w:eastAsia="Times New Roman" w:hAnsi="Söhne" w:cs="Times New Roman"/>
          <w:bCs/>
          <w:strike/>
          <w:sz w:val="18"/>
          <w:lang w:val="en-IE"/>
        </w:rPr>
        <w:t xml:space="preserve"> stages </w:t>
      </w:r>
      <w:r w:rsidRPr="00A547B4">
        <w:rPr>
          <w:rFonts w:ascii="Söhne" w:eastAsia="Times New Roman" w:hAnsi="Söhne" w:cs="Arial"/>
          <w:bCs/>
          <w:strike/>
          <w:sz w:val="18"/>
          <w:szCs w:val="18"/>
          <w:lang w:val="en-IE"/>
        </w:rPr>
        <w:t xml:space="preserve">lowered </w:t>
      </w:r>
      <w:r w:rsidRPr="00A547B4">
        <w:rPr>
          <w:rFonts w:ascii="Söhne" w:eastAsia="Times New Roman" w:hAnsi="Söhne" w:cs="Times New Roman"/>
          <w:bCs/>
          <w:strike/>
          <w:sz w:val="18"/>
          <w:lang w:val="en-IE"/>
        </w:rPr>
        <w:t xml:space="preserve">(Motte </w:t>
      </w:r>
      <w:r w:rsidRPr="00A547B4">
        <w:rPr>
          <w:rFonts w:ascii="Söhne" w:eastAsia="Times New Roman" w:hAnsi="Söhne" w:cs="Times New Roman"/>
          <w:bCs/>
          <w:i/>
          <w:strike/>
          <w:sz w:val="18"/>
          <w:lang w:val="en-IE"/>
        </w:rPr>
        <w:t>et al.,</w:t>
      </w:r>
      <w:r w:rsidRPr="00A547B4">
        <w:rPr>
          <w:rFonts w:ascii="Söhne" w:eastAsia="Times New Roman" w:hAnsi="Söhne" w:cs="Times New Roman"/>
          <w:bCs/>
          <w:i/>
          <w:iCs/>
          <w:strike/>
          <w:sz w:val="18"/>
          <w:lang w:val="en-IE"/>
        </w:rPr>
        <w:t xml:space="preserve"> </w:t>
      </w:r>
      <w:r w:rsidRPr="00A547B4">
        <w:rPr>
          <w:rFonts w:ascii="Söhne" w:eastAsia="Times New Roman" w:hAnsi="Söhne" w:cs="Times New Roman"/>
          <w:bCs/>
          <w:strike/>
          <w:sz w:val="18"/>
          <w:lang w:val="en-IE"/>
        </w:rPr>
        <w:t>2003).</w:t>
      </w:r>
    </w:p>
    <w:p w14:paraId="31B70857" w14:textId="77777777" w:rsidR="00983C95" w:rsidRPr="00A547B4" w:rsidRDefault="00983C95" w:rsidP="00983C95">
      <w:pPr>
        <w:spacing w:after="240" w:line="240" w:lineRule="auto"/>
        <w:ind w:left="851"/>
        <w:jc w:val="both"/>
        <w:rPr>
          <w:rFonts w:ascii="Söhne" w:eastAsia="FangSong" w:hAnsi="Söhne" w:cs="Times New Roman"/>
          <w:bCs/>
          <w:sz w:val="18"/>
          <w:u w:val="double"/>
          <w:lang w:val="en-IE"/>
        </w:rPr>
      </w:pPr>
      <w:r w:rsidRPr="00A547B4">
        <w:rPr>
          <w:rFonts w:ascii="Söhne" w:eastAsia="FangSong" w:hAnsi="Söhne" w:cs="Times New Roman"/>
          <w:bCs/>
          <w:sz w:val="18"/>
          <w:u w:val="double"/>
          <w:lang w:val="en-IE"/>
        </w:rPr>
        <w:t xml:space="preserve">There was no mortality or clinical signs of disease in </w:t>
      </w:r>
      <w:r w:rsidRPr="00A547B4">
        <w:rPr>
          <w:rFonts w:ascii="Söhne" w:eastAsia="FangSong" w:hAnsi="Söhne" w:cs="Times New Roman"/>
          <w:bCs/>
          <w:i/>
          <w:iCs/>
          <w:sz w:val="18"/>
          <w:u w:val="double"/>
          <w:lang w:val="en-IE"/>
        </w:rPr>
        <w:t>P. vannamei</w:t>
      </w:r>
      <w:r w:rsidRPr="00A547B4">
        <w:rPr>
          <w:rFonts w:ascii="Söhne" w:eastAsia="FangSong" w:hAnsi="Söhne" w:cs="Times New Roman"/>
          <w:bCs/>
          <w:sz w:val="18"/>
          <w:u w:val="double"/>
          <w:lang w:val="en-IE"/>
        </w:rPr>
        <w:t xml:space="preserve">, </w:t>
      </w:r>
      <w:r w:rsidRPr="00A547B4">
        <w:rPr>
          <w:rFonts w:ascii="Söhne" w:eastAsia="FangSong" w:hAnsi="Söhne" w:cs="Times New Roman"/>
          <w:bCs/>
          <w:i/>
          <w:iCs/>
          <w:sz w:val="18"/>
          <w:u w:val="double"/>
          <w:lang w:val="en-IE"/>
        </w:rPr>
        <w:t>P. monodon</w:t>
      </w:r>
      <w:r w:rsidRPr="00A547B4">
        <w:rPr>
          <w:rFonts w:ascii="Söhne" w:eastAsia="FangSong" w:hAnsi="Söhne" w:cs="Times New Roman"/>
          <w:bCs/>
          <w:sz w:val="18"/>
          <w:u w:val="double"/>
          <w:lang w:val="en-IE"/>
        </w:rPr>
        <w:t xml:space="preserve"> or </w:t>
      </w:r>
      <w:r w:rsidRPr="00A547B4">
        <w:rPr>
          <w:rFonts w:ascii="Söhne" w:eastAsia="FangSong" w:hAnsi="Söhne" w:cs="Times New Roman"/>
          <w:bCs/>
          <w:i/>
          <w:iCs/>
          <w:sz w:val="18"/>
          <w:u w:val="double"/>
          <w:lang w:val="en-IE"/>
        </w:rPr>
        <w:t>P. stylirostris</w:t>
      </w:r>
      <w:r w:rsidRPr="00A547B4">
        <w:rPr>
          <w:rFonts w:ascii="Söhne" w:eastAsia="FangSong" w:hAnsi="Söhne" w:cs="Times New Roman"/>
          <w:bCs/>
          <w:sz w:val="18"/>
          <w:u w:val="double"/>
          <w:lang w:val="en-IE"/>
        </w:rPr>
        <w:t xml:space="preserve"> when experimentally challenged with IHHNV genotypes from Ecuador and Peru</w:t>
      </w:r>
      <w:r w:rsidRPr="00A547B4">
        <w:rPr>
          <w:rFonts w:ascii="Söhne" w:eastAsia="FangSong" w:hAnsi="Söhne" w:cs="Times New Roman"/>
          <w:bCs/>
          <w:strike/>
          <w:sz w:val="18"/>
          <w:lang w:val="en-IE"/>
        </w:rPr>
        <w:t xml:space="preserve"> </w:t>
      </w:r>
      <w:r w:rsidRPr="00A547B4">
        <w:rPr>
          <w:rFonts w:ascii="Söhne" w:eastAsia="FangSong" w:hAnsi="Söhne" w:cs="Times New Roman"/>
          <w:bCs/>
          <w:strike/>
          <w:sz w:val="18"/>
          <w:highlight w:val="yellow"/>
          <w:lang w:val="en-IE"/>
        </w:rPr>
        <w:t xml:space="preserve">(Aranguen Caro </w:t>
      </w:r>
      <w:r w:rsidRPr="00A547B4">
        <w:rPr>
          <w:rFonts w:ascii="Söhne" w:eastAsia="FangSong" w:hAnsi="Söhne" w:cs="Times New Roman"/>
          <w:bCs/>
          <w:i/>
          <w:iCs/>
          <w:strike/>
          <w:sz w:val="18"/>
          <w:highlight w:val="yellow"/>
          <w:lang w:val="en-IE"/>
        </w:rPr>
        <w:t>et al.,</w:t>
      </w:r>
      <w:r w:rsidRPr="00A547B4">
        <w:rPr>
          <w:rFonts w:ascii="Söhne" w:eastAsia="FangSong" w:hAnsi="Söhne" w:cs="Times New Roman"/>
          <w:bCs/>
          <w:strike/>
          <w:sz w:val="18"/>
          <w:highlight w:val="yellow"/>
          <w:lang w:val="en-IE"/>
        </w:rPr>
        <w:t xml:space="preserve"> 2022)</w:t>
      </w:r>
      <w:r w:rsidRPr="00A547B4">
        <w:rPr>
          <w:rFonts w:ascii="Söhne" w:eastAsia="FangSong" w:hAnsi="Söhne" w:cs="Times New Roman"/>
          <w:bCs/>
          <w:sz w:val="18"/>
          <w:highlight w:val="yellow"/>
          <w:u w:val="double"/>
          <w:lang w:val="en-IE"/>
        </w:rPr>
        <w:t>.</w:t>
      </w:r>
      <w:r w:rsidRPr="00A547B4">
        <w:rPr>
          <w:rFonts w:ascii="Söhne" w:eastAsia="FangSong" w:hAnsi="Söhne" w:cs="Times New Roman"/>
          <w:bCs/>
          <w:sz w:val="18"/>
          <w:u w:val="double"/>
          <w:lang w:val="en-IE"/>
        </w:rPr>
        <w:t xml:space="preserve"> The IHHNV genotypes were found to be within a separate lineage of IHHNV type 2 genotypes circulating within these countries (Aranguen Caro </w:t>
      </w:r>
      <w:r w:rsidRPr="00A547B4">
        <w:rPr>
          <w:rFonts w:ascii="Söhne" w:eastAsia="FangSong" w:hAnsi="Söhne" w:cs="Times New Roman"/>
          <w:bCs/>
          <w:i/>
          <w:iCs/>
          <w:sz w:val="18"/>
          <w:u w:val="double"/>
          <w:lang w:val="en-IE"/>
        </w:rPr>
        <w:t>et al.,</w:t>
      </w:r>
      <w:r w:rsidRPr="00A547B4">
        <w:rPr>
          <w:rFonts w:ascii="Söhne" w:eastAsia="FangSong" w:hAnsi="Söhne" w:cs="Times New Roman"/>
          <w:bCs/>
          <w:sz w:val="18"/>
          <w:u w:val="double"/>
          <w:lang w:val="en-IE"/>
        </w:rPr>
        <w:t xml:space="preserve"> 2022).</w:t>
      </w:r>
    </w:p>
    <w:p w14:paraId="55C7C7FF" w14:textId="77777777" w:rsidR="00983C95" w:rsidRPr="00A547B4" w:rsidRDefault="00983C95" w:rsidP="00983C95">
      <w:pPr>
        <w:spacing w:after="240" w:line="240" w:lineRule="auto"/>
        <w:ind w:left="851"/>
        <w:jc w:val="both"/>
        <w:rPr>
          <w:rFonts w:ascii="Söhne" w:eastAsia="Times New Roman" w:hAnsi="Söhne" w:cs="Times New Roman"/>
          <w:bCs/>
          <w:sz w:val="18"/>
          <w:shd w:val="clear" w:color="auto" w:fill="FFFFFF"/>
          <w:lang w:val="en-IE"/>
        </w:rPr>
      </w:pPr>
      <w:r w:rsidRPr="00A547B4">
        <w:rPr>
          <w:rFonts w:ascii="Söhne" w:eastAsia="Times New Roman" w:hAnsi="Söhne" w:cs="Times New Roman"/>
          <w:bCs/>
          <w:sz w:val="18"/>
          <w:shd w:val="clear" w:color="auto" w:fill="FFFFFF"/>
          <w:lang w:val="en-IE"/>
        </w:rPr>
        <w:t>In the past, stocks of</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i/>
          <w:sz w:val="18"/>
          <w:shd w:val="clear" w:color="auto" w:fill="FFFFFF"/>
          <w:lang w:val="en-IE"/>
        </w:rPr>
        <w:t>P. stylirostris</w:t>
      </w:r>
      <w:r w:rsidRPr="00A547B4">
        <w:rPr>
          <w:rFonts w:ascii="Söhne" w:eastAsia="Times New Roman" w:hAnsi="Söhne" w:cs="Times New Roman"/>
          <w:bCs/>
          <w:sz w:val="18"/>
          <w:shd w:val="clear" w:color="auto" w:fill="FFFFFF"/>
          <w:lang w:val="en-IE"/>
        </w:rPr>
        <w:t xml:space="preserve">, juveniles, </w:t>
      </w:r>
      <w:r w:rsidRPr="00A547B4">
        <w:rPr>
          <w:rFonts w:ascii="Söhne" w:eastAsia="Times New Roman" w:hAnsi="Söhne" w:cs="Times New Roman"/>
          <w:bCs/>
          <w:strike/>
          <w:sz w:val="18"/>
          <w:shd w:val="clear" w:color="auto" w:fill="FFFFFF"/>
          <w:lang w:val="en-IE"/>
        </w:rPr>
        <w:t>subadults</w:t>
      </w:r>
      <w:r w:rsidRPr="00A547B4">
        <w:rPr>
          <w:rFonts w:ascii="Söhne" w:eastAsia="Times New Roman" w:hAnsi="Söhne" w:cs="Arial"/>
          <w:bCs/>
          <w:strike/>
          <w:sz w:val="18"/>
          <w:szCs w:val="18"/>
          <w:shd w:val="clear" w:color="auto" w:fill="FFFFFF"/>
          <w:lang w:val="en-IE"/>
        </w:rPr>
        <w:t>,</w:t>
      </w:r>
      <w:r w:rsidRPr="00A547B4">
        <w:rPr>
          <w:rFonts w:ascii="Söhne" w:eastAsia="Times New Roman" w:hAnsi="Söhne" w:cs="Times New Roman"/>
          <w:bCs/>
          <w:strike/>
          <w:sz w:val="18"/>
          <w:shd w:val="clear" w:color="auto" w:fill="FFFFFF"/>
          <w:lang w:val="en-IE"/>
        </w:rPr>
        <w:t xml:space="preserve"> </w:t>
      </w:r>
      <w:r w:rsidRPr="00A547B4">
        <w:rPr>
          <w:rFonts w:ascii="Söhne" w:eastAsia="Times New Roman" w:hAnsi="Söhne" w:cs="Times New Roman"/>
          <w:bCs/>
          <w:sz w:val="18"/>
          <w:shd w:val="clear" w:color="auto" w:fill="FFFFFF"/>
          <w:lang w:val="en-IE"/>
        </w:rPr>
        <w:t xml:space="preserve">and adults showed </w:t>
      </w:r>
      <w:r w:rsidRPr="00A547B4">
        <w:rPr>
          <w:rFonts w:ascii="Söhne" w:eastAsia="Times New Roman" w:hAnsi="Söhne" w:cs="Arial"/>
          <w:bCs/>
          <w:sz w:val="18"/>
          <w:szCs w:val="18"/>
          <w:lang w:val="en-IE"/>
        </w:rPr>
        <w:t>persistently</w:t>
      </w:r>
      <w:r w:rsidRPr="00A547B4">
        <w:rPr>
          <w:rFonts w:ascii="Söhne" w:eastAsia="Times New Roman" w:hAnsi="Söhne" w:cs="Times New Roman"/>
          <w:bCs/>
          <w:sz w:val="18"/>
          <w:shd w:val="clear" w:color="auto" w:fill="FFFFFF"/>
          <w:lang w:val="en-IE"/>
        </w:rPr>
        <w:t xml:space="preserve"> high mortality rates due to infection with IHHNV. However, selected lines of </w:t>
      </w:r>
      <w:r w:rsidRPr="00A547B4">
        <w:rPr>
          <w:rFonts w:ascii="Söhne" w:eastAsia="Times New Roman" w:hAnsi="Söhne" w:cs="Times New Roman"/>
          <w:bCs/>
          <w:i/>
          <w:iCs/>
          <w:sz w:val="18"/>
          <w:shd w:val="clear" w:color="auto" w:fill="FFFFFF"/>
          <w:lang w:val="en-IE"/>
        </w:rPr>
        <w:t>P. stylirostris</w:t>
      </w:r>
      <w:r w:rsidRPr="00A547B4">
        <w:rPr>
          <w:rFonts w:ascii="Söhne" w:eastAsia="Times New Roman" w:hAnsi="Söhne" w:cs="Times New Roman"/>
          <w:bCs/>
          <w:sz w:val="18"/>
          <w:shd w:val="clear" w:color="auto" w:fill="FFFFFF"/>
          <w:lang w:val="en-IE"/>
        </w:rPr>
        <w:t xml:space="preserve"> do not show mortality and appear to be tolerant to this virus. </w:t>
      </w:r>
      <w:r w:rsidRPr="00A547B4">
        <w:rPr>
          <w:rFonts w:ascii="Söhne" w:eastAsia="Times New Roman" w:hAnsi="Söhne" w:cs="Times New Roman"/>
          <w:bCs/>
          <w:i/>
          <w:strike/>
          <w:sz w:val="18"/>
          <w:szCs w:val="18"/>
          <w:lang w:val="en-IE"/>
        </w:rPr>
        <w:t>Penaeus</w:t>
      </w:r>
      <w:r w:rsidRPr="00A547B4">
        <w:rPr>
          <w:rFonts w:ascii="Söhne" w:eastAsia="Times New Roman" w:hAnsi="Söhne" w:cs="Times New Roman"/>
          <w:bCs/>
          <w:i/>
          <w:strike/>
          <w:sz w:val="18"/>
          <w:lang w:val="en-IE"/>
        </w:rPr>
        <w:t xml:space="preserve"> </w:t>
      </w:r>
      <w:r w:rsidRPr="00A547B4">
        <w:rPr>
          <w:rFonts w:ascii="Söhne" w:eastAsia="Times New Roman" w:hAnsi="Söhne" w:cs="Times New Roman"/>
          <w:bCs/>
          <w:i/>
          <w:strike/>
          <w:sz w:val="18"/>
          <w:shd w:val="clear" w:color="auto" w:fill="FFFFFF"/>
          <w:lang w:val="en-IE"/>
        </w:rPr>
        <w:t>vannamei</w:t>
      </w:r>
      <w:r w:rsidRPr="00A547B4">
        <w:rPr>
          <w:rFonts w:ascii="Söhne" w:eastAsia="Times New Roman" w:hAnsi="Söhne" w:cs="Times New Roman"/>
          <w:bCs/>
          <w:strike/>
          <w:sz w:val="18"/>
          <w:lang w:val="en-IE"/>
        </w:rPr>
        <w:t xml:space="preserve"> </w:t>
      </w:r>
      <w:r w:rsidRPr="00A547B4">
        <w:rPr>
          <w:rFonts w:ascii="Söhne" w:eastAsia="Times New Roman" w:hAnsi="Söhne" w:cs="Times New Roman"/>
          <w:bCs/>
          <w:strike/>
          <w:sz w:val="18"/>
          <w:shd w:val="clear" w:color="auto" w:fill="FFFFFF"/>
          <w:lang w:val="en-IE"/>
        </w:rPr>
        <w:t>and</w:t>
      </w:r>
      <w:r w:rsidRPr="00A547B4">
        <w:rPr>
          <w:rFonts w:ascii="Söhne" w:eastAsia="Times New Roman" w:hAnsi="Söhne" w:cs="Times New Roman"/>
          <w:bCs/>
          <w:strike/>
          <w:sz w:val="18"/>
          <w:lang w:val="en-IE"/>
        </w:rPr>
        <w:t xml:space="preserve"> </w:t>
      </w:r>
      <w:r w:rsidRPr="00A547B4">
        <w:rPr>
          <w:rFonts w:ascii="Söhne" w:eastAsia="Times New Roman" w:hAnsi="Söhne" w:cs="Times New Roman"/>
          <w:bCs/>
          <w:i/>
          <w:strike/>
          <w:sz w:val="18"/>
          <w:shd w:val="clear" w:color="auto" w:fill="FFFFFF"/>
          <w:lang w:val="en-IE"/>
        </w:rPr>
        <w:t>P. monodon</w:t>
      </w:r>
      <w:r w:rsidRPr="00A547B4">
        <w:rPr>
          <w:rFonts w:ascii="Söhne" w:eastAsia="Times New Roman" w:hAnsi="Söhne" w:cs="Times New Roman"/>
          <w:bCs/>
          <w:strike/>
          <w:sz w:val="18"/>
          <w:shd w:val="clear" w:color="auto" w:fill="FFFFFF"/>
          <w:lang w:val="en-IE"/>
        </w:rPr>
        <w:t xml:space="preserve"> stocks infected with IHHNV show poor and highly disparate growth and cuticular deformities, </w:t>
      </w:r>
      <w:r w:rsidRPr="00A547B4">
        <w:rPr>
          <w:rFonts w:ascii="Söhne" w:eastAsia="Times New Roman" w:hAnsi="Söhne" w:cs="Arial"/>
          <w:bCs/>
          <w:strike/>
          <w:sz w:val="18"/>
          <w:szCs w:val="18"/>
          <w:lang w:val="en-IE"/>
        </w:rPr>
        <w:t xml:space="preserve">particularly </w:t>
      </w:r>
      <w:r w:rsidRPr="00A547B4">
        <w:rPr>
          <w:rFonts w:ascii="Söhne" w:eastAsia="Times New Roman" w:hAnsi="Söhne" w:cs="Times New Roman"/>
          <w:bCs/>
          <w:strike/>
          <w:sz w:val="18"/>
          <w:shd w:val="clear" w:color="auto" w:fill="FFFFFF"/>
          <w:lang w:val="en-IE"/>
        </w:rPr>
        <w:t xml:space="preserve">bent rostrums and deformed sixth abdominal segments (Jagadeesan </w:t>
      </w:r>
      <w:r w:rsidRPr="00A547B4">
        <w:rPr>
          <w:rFonts w:ascii="Söhne" w:eastAsia="Times New Roman" w:hAnsi="Söhne" w:cs="Times New Roman"/>
          <w:bCs/>
          <w:i/>
          <w:iCs/>
          <w:strike/>
          <w:sz w:val="18"/>
          <w:shd w:val="clear" w:color="auto" w:fill="FFFFFF"/>
          <w:lang w:val="en-IE"/>
        </w:rPr>
        <w:t xml:space="preserve">et al., </w:t>
      </w:r>
      <w:r w:rsidRPr="00A547B4">
        <w:rPr>
          <w:rFonts w:ascii="Söhne" w:eastAsia="Times New Roman" w:hAnsi="Söhne" w:cs="Times New Roman"/>
          <w:bCs/>
          <w:strike/>
          <w:sz w:val="18"/>
          <w:shd w:val="clear" w:color="auto" w:fill="FFFFFF"/>
          <w:lang w:val="en-IE"/>
        </w:rPr>
        <w:t>2019</w:t>
      </w:r>
      <w:r w:rsidRPr="00A547B4">
        <w:rPr>
          <w:rFonts w:ascii="Söhne" w:eastAsia="Times New Roman" w:hAnsi="Söhne" w:cs="Times New Roman"/>
          <w:bCs/>
          <w:strike/>
          <w:sz w:val="18"/>
          <w:lang w:val="en-IE"/>
        </w:rPr>
        <w:t xml:space="preserve">; Sellars </w:t>
      </w:r>
      <w:r w:rsidRPr="00A547B4">
        <w:rPr>
          <w:rFonts w:ascii="Söhne" w:eastAsia="Times New Roman" w:hAnsi="Söhne" w:cs="Times New Roman"/>
          <w:bCs/>
          <w:i/>
          <w:iCs/>
          <w:strike/>
          <w:sz w:val="18"/>
          <w:lang w:val="en-IE"/>
        </w:rPr>
        <w:t>et al.,</w:t>
      </w:r>
      <w:r w:rsidRPr="00A547B4">
        <w:rPr>
          <w:rFonts w:ascii="Söhne" w:eastAsia="Times New Roman" w:hAnsi="Söhne" w:cs="Times New Roman"/>
          <w:bCs/>
          <w:strike/>
          <w:sz w:val="18"/>
          <w:lang w:val="en-IE"/>
        </w:rPr>
        <w:t xml:space="preserve"> 2019</w:t>
      </w:r>
      <w:r w:rsidRPr="00A547B4">
        <w:rPr>
          <w:rFonts w:ascii="Söhne" w:eastAsia="Times New Roman" w:hAnsi="Söhne" w:cs="Times New Roman"/>
          <w:bCs/>
          <w:strike/>
          <w:sz w:val="18"/>
          <w:shd w:val="clear" w:color="auto" w:fill="FFFFFF"/>
          <w:lang w:val="en-IE"/>
        </w:rPr>
        <w:t>).</w:t>
      </w:r>
    </w:p>
    <w:p w14:paraId="6C506C08"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In regions where the virus is enzootic in wild stocks, the prevalence of IHHNV has been found in various surveys to range from 0 to 100%. Some reported mean values for IHHNV prevalence in wild stocks are: 26% and 46% in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in the lower and upper Gulf of California, respectively (Pantoja </w:t>
      </w:r>
      <w:r w:rsidRPr="00A547B4">
        <w:rPr>
          <w:rFonts w:ascii="Söhne" w:eastAsia="Times New Roman" w:hAnsi="Söhne" w:cs="Times New Roman"/>
          <w:bCs/>
          <w:i/>
          <w:iCs/>
          <w:sz w:val="18"/>
          <w:lang w:val="en-IE"/>
        </w:rPr>
        <w:t xml:space="preserve">et al., </w:t>
      </w:r>
      <w:r w:rsidRPr="00A547B4">
        <w:rPr>
          <w:rFonts w:ascii="Söhne" w:eastAsia="Times New Roman" w:hAnsi="Söhne" w:cs="Times New Roman"/>
          <w:bCs/>
          <w:sz w:val="18"/>
          <w:lang w:val="en-IE"/>
        </w:rPr>
        <w:t xml:space="preserve">1999); 100% and 57%, respectively, in adult female and adult male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from the mid-region of the Gulf of California (</w:t>
      </w:r>
      <w:r w:rsidRPr="00A547B4">
        <w:rPr>
          <w:rFonts w:ascii="Söhne" w:eastAsia="Times New Roman" w:hAnsi="Söhne" w:cs="Times New Roman"/>
          <w:bCs/>
          <w:sz w:val="18"/>
          <w:lang w:val="en-IE" w:eastAsia="fr-FR"/>
        </w:rPr>
        <w:t>Morales-</w:t>
      </w:r>
      <w:r w:rsidRPr="00A547B4">
        <w:rPr>
          <w:rFonts w:ascii="Söhne" w:eastAsia="Times New Roman" w:hAnsi="Söhne" w:cs="Times New Roman"/>
          <w:bCs/>
          <w:sz w:val="18"/>
          <w:lang w:val="en-IE"/>
        </w:rPr>
        <w:t xml:space="preserve">Covarrubias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1999); 28% in wild </w:t>
      </w:r>
      <w:r w:rsidRPr="00A547B4">
        <w:rPr>
          <w:rFonts w:ascii="Söhne" w:eastAsia="Times New Roman" w:hAnsi="Söhne" w:cs="Times New Roman"/>
          <w:bCs/>
          <w:i/>
          <w:sz w:val="18"/>
          <w:lang w:val="en-IE"/>
        </w:rPr>
        <w:t xml:space="preserve">P. vannamei </w:t>
      </w:r>
      <w:r w:rsidRPr="00A547B4">
        <w:rPr>
          <w:rFonts w:ascii="Söhne" w:eastAsia="Times New Roman" w:hAnsi="Söhne" w:cs="Times New Roman"/>
          <w:bCs/>
          <w:sz w:val="18"/>
          <w:lang w:val="en-IE"/>
        </w:rPr>
        <w:t>collected from the Pacific coast of Panama (Nunan</w:t>
      </w:r>
      <w:r w:rsidRPr="00A547B4">
        <w:rPr>
          <w:rFonts w:ascii="Söhne" w:eastAsia="Times New Roman" w:hAnsi="Söhne" w:cs="Times New Roman"/>
          <w:bCs/>
          <w:i/>
          <w:iCs/>
          <w:sz w:val="18"/>
          <w:lang w:val="en-IE"/>
        </w:rPr>
        <w:t xml:space="preserve"> et al.,</w:t>
      </w:r>
      <w:r w:rsidRPr="00A547B4">
        <w:rPr>
          <w:rFonts w:ascii="Söhne" w:eastAsia="Times New Roman" w:hAnsi="Söhne" w:cs="Times New Roman"/>
          <w:bCs/>
          <w:sz w:val="18"/>
          <w:lang w:val="en-IE"/>
        </w:rPr>
        <w:t xml:space="preserve"> 2001); from 51 to 63% in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collected from the Pacific coasts of Ecuador, Colombia and Panama (Motte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2003), and from 6 to 63% in</w:t>
      </w:r>
      <w:r w:rsidRPr="00A547B4">
        <w:rPr>
          <w:rFonts w:ascii="Söhne" w:eastAsia="Times New Roman" w:hAnsi="Söhne" w:cs="Times New Roman"/>
          <w:bCs/>
          <w:i/>
          <w:sz w:val="18"/>
          <w:lang w:val="en-IE"/>
        </w:rPr>
        <w:t xml:space="preserve"> P. vannamei </w:t>
      </w:r>
      <w:r w:rsidRPr="00A547B4">
        <w:rPr>
          <w:rFonts w:ascii="Söhne" w:eastAsia="Times New Roman" w:hAnsi="Söhne" w:cs="Times New Roman"/>
          <w:bCs/>
          <w:sz w:val="18"/>
          <w:lang w:val="en-IE"/>
        </w:rPr>
        <w:t>broodstock and 49.5% in post-larvae from</w:t>
      </w:r>
      <w:r w:rsidRPr="00A547B4">
        <w:rPr>
          <w:rFonts w:ascii="Söhne" w:eastAsia="Times New Roman" w:hAnsi="Söhne" w:cs="Times New Roman"/>
          <w:bCs/>
          <w:i/>
          <w:sz w:val="18"/>
          <w:lang w:val="en-IE"/>
        </w:rPr>
        <w:t xml:space="preserve"> </w:t>
      </w:r>
      <w:r w:rsidRPr="00A547B4">
        <w:rPr>
          <w:rFonts w:ascii="Söhne" w:eastAsia="Times New Roman" w:hAnsi="Söhne" w:cs="Times New Roman"/>
          <w:bCs/>
          <w:sz w:val="18"/>
          <w:lang w:val="en-IE"/>
        </w:rPr>
        <w:t xml:space="preserve">Mexico (Fernando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2016). In farms where IHHNV is present, its prevalence can range from very low to 100%, but high prevalence is typical (Aly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2021; Chayaburakul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2004; Lightner, 1996; Lightner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1983).</w:t>
      </w:r>
    </w:p>
    <w:p w14:paraId="644D6C69"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2.3.2.</w:t>
      </w:r>
      <w:r w:rsidRPr="00A547B4">
        <w:rPr>
          <w:rFonts w:ascii="Söhne Kräftig" w:eastAsia="Times New Roman" w:hAnsi="Söhne Kräftig" w:cs="Times New Roman"/>
          <w:bCs/>
          <w:sz w:val="20"/>
          <w:lang w:val="en-GB" w:eastAsia="fr-FR"/>
        </w:rPr>
        <w:tab/>
        <w:t>Clinical signs, including behavioural changes</w:t>
      </w:r>
    </w:p>
    <w:p w14:paraId="0944DB94" w14:textId="77777777" w:rsidR="00983C95" w:rsidRPr="00A547B4" w:rsidRDefault="00983C95" w:rsidP="00983C95">
      <w:pPr>
        <w:spacing w:after="240" w:line="240" w:lineRule="auto"/>
        <w:ind w:left="851"/>
        <w:jc w:val="both"/>
        <w:rPr>
          <w:rFonts w:ascii="Söhne" w:eastAsia="FangSong" w:hAnsi="Söhne" w:cs="Times New Roman"/>
          <w:bCs/>
          <w:sz w:val="18"/>
          <w:u w:val="double"/>
          <w:lang w:val="en-IE"/>
        </w:rPr>
      </w:pPr>
      <w:r w:rsidRPr="00A547B4">
        <w:rPr>
          <w:rFonts w:ascii="Söhne" w:eastAsia="FangSong" w:hAnsi="Söhne" w:cs="Times New Roman"/>
          <w:bCs/>
          <w:sz w:val="18"/>
          <w:u w:val="double"/>
          <w:lang w:val="en-IE" w:bidi="en-US"/>
        </w:rPr>
        <w:t xml:space="preserve">Animals with this disease may show one or more of these signs, but the pathogen may still be present in the absence of any signs. </w:t>
      </w:r>
      <w:r w:rsidRPr="00A547B4">
        <w:rPr>
          <w:rFonts w:ascii="Söhne" w:eastAsia="FangSong" w:hAnsi="Söhne" w:cs="Times New Roman"/>
          <w:bCs/>
          <w:sz w:val="18"/>
          <w:u w:val="double"/>
          <w:lang w:val="en-IE"/>
        </w:rPr>
        <w:t xml:space="preserve">Clinical signs are non-specific, but juvenile </w:t>
      </w:r>
      <w:r w:rsidRPr="00A547B4">
        <w:rPr>
          <w:rFonts w:ascii="Söhne" w:eastAsia="FangSong" w:hAnsi="Söhne" w:cs="Times New Roman"/>
          <w:bCs/>
          <w:i/>
          <w:sz w:val="18"/>
          <w:u w:val="double"/>
          <w:lang w:val="en-IE"/>
        </w:rPr>
        <w:t>P. stylirostris</w:t>
      </w:r>
      <w:r w:rsidRPr="00A547B4">
        <w:rPr>
          <w:rFonts w:ascii="Söhne" w:eastAsia="FangSong" w:hAnsi="Söhne" w:cs="Times New Roman"/>
          <w:bCs/>
          <w:sz w:val="18"/>
          <w:u w:val="double"/>
          <w:lang w:val="en-IE"/>
        </w:rPr>
        <w:t xml:space="preserve"> with acute infection with IHHNV show a marked reduction in food consumption, followed by changes in behaviour and appearance. Shrimp of this species infected with IHHNV have been observed to rise slowly in culture tanks to the water surface, where they become motionless and then roll-over and slowly sink (ventral side up) to the tank bottom. Shrimp exhibiting this behaviour may repeat the process for several hours until they become too weak to continue, or until they are attacked and cannibalised by their healthier siblings.</w:t>
      </w:r>
    </w:p>
    <w:p w14:paraId="31A871AB"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Certain cuticular deformities, specifically a deformed rostrum bent to the left or right, which may be presented by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and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with RDS, are indicative of infection with IHHNV</w:t>
      </w:r>
      <w:r w:rsidRPr="00A547B4">
        <w:rPr>
          <w:rFonts w:ascii="Söhne" w:eastAsia="Times New Roman" w:hAnsi="Söhne" w:cs="Times New Roman"/>
          <w:bCs/>
          <w:strike/>
          <w:sz w:val="18"/>
          <w:lang w:val="en-IE"/>
        </w:rPr>
        <w:t xml:space="preserve"> (see Section 2.3.3 </w:t>
      </w:r>
      <w:r w:rsidRPr="00A547B4">
        <w:rPr>
          <w:rFonts w:ascii="Söhne" w:eastAsia="Times New Roman" w:hAnsi="Söhne" w:cs="Times New Roman"/>
          <w:bCs/>
          <w:i/>
          <w:strike/>
          <w:sz w:val="18"/>
          <w:lang w:val="en-IE"/>
        </w:rPr>
        <w:t>Gross pathology:</w:t>
      </w:r>
      <w:r w:rsidRPr="00A547B4">
        <w:rPr>
          <w:rFonts w:ascii="Söhne" w:eastAsia="Times New Roman" w:hAnsi="Söhne" w:cs="Times New Roman"/>
          <w:bCs/>
          <w:i/>
          <w:strike/>
          <w:sz w:val="18"/>
          <w:lang w:val="en-GB"/>
        </w:rPr>
        <w:t xml:space="preserve"> Infection with IHHNV in </w:t>
      </w:r>
      <w:r w:rsidRPr="00A547B4">
        <w:rPr>
          <w:rFonts w:ascii="Söhne" w:eastAsia="Times New Roman" w:hAnsi="Söhne" w:cs="Times New Roman"/>
          <w:bCs/>
          <w:strike/>
          <w:sz w:val="18"/>
          <w:lang w:val="en-GB"/>
        </w:rPr>
        <w:t>Penaeus vannamei</w:t>
      </w:r>
      <w:r w:rsidRPr="00A547B4">
        <w:rPr>
          <w:rFonts w:ascii="Söhne" w:eastAsia="Times New Roman" w:hAnsi="Söhne" w:cs="Times New Roman"/>
          <w:bCs/>
          <w:strike/>
          <w:sz w:val="18"/>
          <w:lang w:val="en-IE"/>
        </w:rPr>
        <w:t>)</w:t>
      </w:r>
      <w:r w:rsidRPr="00A547B4">
        <w:rPr>
          <w:rFonts w:ascii="Söhne" w:eastAsia="Times New Roman" w:hAnsi="Söhne" w:cs="Times New Roman"/>
          <w:bCs/>
          <w:sz w:val="18"/>
          <w:lang w:val="en-IE"/>
        </w:rPr>
        <w:t xml:space="preserve">. However, this clinical sign is not always apparent in shrimp populations chronically infected with IHHNV. </w:t>
      </w:r>
    </w:p>
    <w:p w14:paraId="261D69BD"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lastRenderedPageBreak/>
        <w:t xml:space="preserve">In acute disease,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may present behavioural changes </w:t>
      </w:r>
      <w:r w:rsidRPr="00A547B4">
        <w:rPr>
          <w:rFonts w:ascii="Söhne" w:eastAsia="Times New Roman" w:hAnsi="Söhne" w:cs="Times New Roman"/>
          <w:bCs/>
          <w:strike/>
          <w:sz w:val="18"/>
          <w:lang w:val="en-IE"/>
        </w:rPr>
        <w:t xml:space="preserve">(see Section 2.3.3 </w:t>
      </w:r>
      <w:r w:rsidRPr="00A547B4">
        <w:rPr>
          <w:rFonts w:ascii="Söhne" w:eastAsia="Times New Roman" w:hAnsi="Söhne" w:cs="Times New Roman"/>
          <w:bCs/>
          <w:i/>
          <w:strike/>
          <w:sz w:val="18"/>
          <w:lang w:val="en-IE"/>
        </w:rPr>
        <w:t>Gross pathology:</w:t>
      </w:r>
      <w:r w:rsidRPr="00A547B4">
        <w:rPr>
          <w:rFonts w:ascii="Söhne" w:eastAsia="Times New Roman" w:hAnsi="Söhne" w:cs="Times New Roman"/>
          <w:bCs/>
          <w:strike/>
          <w:sz w:val="18"/>
          <w:lang w:val="en-IE"/>
        </w:rPr>
        <w:t xml:space="preserve"> </w:t>
      </w:r>
      <w:r w:rsidRPr="00A547B4">
        <w:rPr>
          <w:rFonts w:ascii="Söhne" w:eastAsia="Times New Roman" w:hAnsi="Söhne" w:cs="Times New Roman"/>
          <w:bCs/>
          <w:i/>
          <w:strike/>
          <w:sz w:val="18"/>
          <w:lang w:val="en-IE"/>
        </w:rPr>
        <w:t xml:space="preserve">Infection with IHHNV in </w:t>
      </w:r>
      <w:r w:rsidRPr="00A547B4">
        <w:rPr>
          <w:rFonts w:ascii="Söhne" w:eastAsia="Times New Roman" w:hAnsi="Söhne" w:cs="Times New Roman"/>
          <w:bCs/>
          <w:strike/>
          <w:sz w:val="18"/>
          <w:lang w:val="en-IE"/>
        </w:rPr>
        <w:t xml:space="preserve">Penaeus stylirostris) </w:t>
      </w:r>
      <w:r w:rsidRPr="00A547B4">
        <w:rPr>
          <w:rFonts w:ascii="Söhne" w:eastAsia="Times New Roman" w:hAnsi="Söhne" w:cs="Times New Roman"/>
          <w:bCs/>
          <w:sz w:val="18"/>
          <w:lang w:val="en-IE"/>
        </w:rPr>
        <w:t>but with RDS, no consistent behavioural changes have been reported for affected shrimp.</w:t>
      </w:r>
    </w:p>
    <w:p w14:paraId="516E4F7A" w14:textId="77777777" w:rsidR="00983C95" w:rsidRPr="00A547B4" w:rsidRDefault="00983C95" w:rsidP="00983C95">
      <w:pPr>
        <w:spacing w:after="240" w:line="240" w:lineRule="auto"/>
        <w:ind w:left="851"/>
        <w:jc w:val="both"/>
        <w:rPr>
          <w:rFonts w:ascii="Söhne" w:eastAsia="Times New Roman" w:hAnsi="Söhne" w:cs="Times New Roman"/>
          <w:bCs/>
          <w:sz w:val="18"/>
          <w:u w:val="double"/>
          <w:lang w:val="en-IE"/>
        </w:rPr>
      </w:pPr>
      <w:r w:rsidRPr="00A547B4">
        <w:rPr>
          <w:rFonts w:ascii="Söhne" w:eastAsia="FangSong" w:hAnsi="Söhne" w:cs="Times New Roman"/>
          <w:bCs/>
          <w:sz w:val="18"/>
          <w:u w:val="double"/>
          <w:lang w:val="en-IE"/>
        </w:rPr>
        <w:t xml:space="preserve">Infection with IHHNV interferes with normal egg, larval, and postlarval development. When broodstock are used from wild or farmed stocks where the disease is enzootic, hatching success of eggs may be reduced, and survival and culture performance of the larval and postlarval stages lowered (Motte </w:t>
      </w:r>
      <w:r w:rsidRPr="00A547B4">
        <w:rPr>
          <w:rFonts w:ascii="Söhne" w:eastAsia="FangSong" w:hAnsi="Söhne" w:cs="Times New Roman"/>
          <w:bCs/>
          <w:i/>
          <w:sz w:val="18"/>
          <w:u w:val="double"/>
          <w:lang w:val="en-IE"/>
        </w:rPr>
        <w:t xml:space="preserve">et al., </w:t>
      </w:r>
      <w:r w:rsidRPr="00A547B4">
        <w:rPr>
          <w:rFonts w:ascii="Söhne" w:eastAsia="FangSong" w:hAnsi="Söhne" w:cs="Times New Roman"/>
          <w:bCs/>
          <w:sz w:val="18"/>
          <w:u w:val="double"/>
          <w:lang w:val="en-IE"/>
        </w:rPr>
        <w:t>2003).</w:t>
      </w:r>
    </w:p>
    <w:p w14:paraId="0FEBD0AB"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2.3.3.</w:t>
      </w:r>
      <w:r w:rsidRPr="00A547B4">
        <w:rPr>
          <w:rFonts w:ascii="Söhne Kräftig" w:eastAsia="Times New Roman" w:hAnsi="Söhne Kräftig" w:cs="Times New Roman"/>
          <w:bCs/>
          <w:sz w:val="20"/>
          <w:lang w:val="en-GB" w:eastAsia="fr-FR"/>
        </w:rPr>
        <w:tab/>
        <w:t>Gross pathology</w:t>
      </w:r>
    </w:p>
    <w:p w14:paraId="64B0DF53" w14:textId="77777777" w:rsidR="00983C95" w:rsidRPr="00A547B4" w:rsidRDefault="00983C95" w:rsidP="00983C95">
      <w:pPr>
        <w:spacing w:after="120" w:line="240" w:lineRule="auto"/>
        <w:ind w:left="851"/>
        <w:jc w:val="both"/>
        <w:rPr>
          <w:rFonts w:ascii="Söhne" w:eastAsia="Times New Roman" w:hAnsi="Söhne" w:cs="Times New Roman"/>
          <w:bCs/>
          <w:strike/>
          <w:sz w:val="18"/>
          <w:lang w:val="en-IE"/>
        </w:rPr>
      </w:pPr>
      <w:r w:rsidRPr="00A547B4">
        <w:rPr>
          <w:rFonts w:ascii="Söhne" w:eastAsia="Times New Roman" w:hAnsi="Söhne" w:cs="Times New Roman"/>
          <w:bCs/>
          <w:i/>
          <w:iCs/>
          <w:strike/>
          <w:sz w:val="18"/>
          <w:lang w:val="en-IE"/>
        </w:rPr>
        <w:t xml:space="preserve">Infection with IHHNV in </w:t>
      </w:r>
      <w:r w:rsidRPr="00A547B4">
        <w:rPr>
          <w:rFonts w:ascii="Söhne" w:eastAsia="Times New Roman" w:hAnsi="Söhne" w:cs="Times New Roman"/>
          <w:bCs/>
          <w:strike/>
          <w:sz w:val="18"/>
          <w:lang w:val="en-IE"/>
        </w:rPr>
        <w:t>Penaeus</w:t>
      </w:r>
      <w:r w:rsidRPr="00A547B4">
        <w:rPr>
          <w:rFonts w:ascii="Söhne" w:eastAsia="Times New Roman" w:hAnsi="Söhne" w:cs="Arial"/>
          <w:bCs/>
          <w:strike/>
          <w:sz w:val="18"/>
          <w:lang w:val="en-IE"/>
        </w:rPr>
        <w:t> </w:t>
      </w:r>
      <w:r w:rsidRPr="00A547B4">
        <w:rPr>
          <w:rFonts w:ascii="Söhne" w:eastAsia="Times New Roman" w:hAnsi="Söhne" w:cs="Times New Roman"/>
          <w:bCs/>
          <w:strike/>
          <w:sz w:val="18"/>
          <w:lang w:val="en-IE"/>
        </w:rPr>
        <w:t>stylirostris</w:t>
      </w:r>
    </w:p>
    <w:p w14:paraId="70745D9F" w14:textId="77777777" w:rsidR="00983C95" w:rsidRPr="00A547B4" w:rsidRDefault="00983C95" w:rsidP="00983C95">
      <w:pPr>
        <w:spacing w:after="240" w:line="240" w:lineRule="auto"/>
        <w:ind w:left="851"/>
        <w:jc w:val="both"/>
        <w:rPr>
          <w:rFonts w:ascii="Söhne" w:eastAsia="Times New Roman" w:hAnsi="Söhne" w:cs="Times New Roman"/>
          <w:bCs/>
          <w:strike/>
          <w:sz w:val="18"/>
          <w:lang w:val="en-IE"/>
        </w:rPr>
      </w:pPr>
      <w:r w:rsidRPr="00A547B4">
        <w:rPr>
          <w:rFonts w:ascii="Söhne" w:eastAsia="Times New Roman" w:hAnsi="Söhne" w:cs="Times New Roman"/>
          <w:bCs/>
          <w:strike/>
          <w:sz w:val="18"/>
          <w:lang w:val="en-IE"/>
        </w:rPr>
        <w:t xml:space="preserve">Infection with IHHNV may result in acute disease with very high mortalities in juveniles. Vertically infected larvae and early postlarvae do not become diseased, but in approximately 35-day-old or older juveniles, gross signs of the disease may be observed, followed by mass mortalities. In horizontally infected juveniles, the incubation period and severity of the disease is somewhat size- or age-dependent, with young juveniles always being the most severely affected. Infected adults seldom show signs of the disease or mortalities (Bell &amp; Lightner, 1984; 1987; Lightner, 1996; Lightner </w:t>
      </w:r>
      <w:r w:rsidRPr="00A547B4">
        <w:rPr>
          <w:rFonts w:ascii="Söhne" w:eastAsia="Times New Roman" w:hAnsi="Söhne" w:cs="Times New Roman"/>
          <w:bCs/>
          <w:i/>
          <w:iCs/>
          <w:strike/>
          <w:sz w:val="18"/>
          <w:lang w:val="en-IE"/>
        </w:rPr>
        <w:t>et al.,</w:t>
      </w:r>
      <w:r w:rsidRPr="00A547B4">
        <w:rPr>
          <w:rFonts w:ascii="Söhne" w:eastAsia="Times New Roman" w:hAnsi="Söhne" w:cs="Times New Roman"/>
          <w:bCs/>
          <w:strike/>
          <w:sz w:val="18"/>
          <w:lang w:val="en-IE"/>
        </w:rPr>
        <w:t xml:space="preserve"> 1983). Gross signs are non-specific, but juvenile P. stylirostris with acute infection with IHHNV show a marked reduction in food consumption, followed by changes in behaviour and appearance. Shrimp of this species infected with IHHNV have been observed to rise slowly in culture tanks to the water surface, where they become motionless and then roll-over and slowly sink (ventral side up) to the tank bottom. Shrimp exhibiting this behaviour may repeat the process for several hours until they become too weak to continue, or until they are attacked and cannibalised by their healthier siblings. </w:t>
      </w:r>
      <w:r w:rsidRPr="00A547B4">
        <w:rPr>
          <w:rFonts w:ascii="Söhne" w:eastAsia="Times New Roman" w:hAnsi="Söhne" w:cs="Times New Roman"/>
          <w:bCs/>
          <w:i/>
          <w:iCs/>
          <w:strike/>
          <w:sz w:val="18"/>
          <w:lang w:val="en-IE"/>
        </w:rPr>
        <w:t>Penaeus stylirostris</w:t>
      </w:r>
      <w:r w:rsidRPr="00A547B4">
        <w:rPr>
          <w:rFonts w:ascii="Söhne" w:eastAsia="Times New Roman" w:hAnsi="Söhne" w:cs="Times New Roman"/>
          <w:bCs/>
          <w:strike/>
          <w:sz w:val="18"/>
          <w:lang w:val="en-IE"/>
        </w:rPr>
        <w:t xml:space="preserve"> at this stage of infection often have white or buff-coloured spots (which differ in appearance and location from the white spots that sometimes occur in shrimp with WSSV infections) in the cuticular epidermis, especially at the junction of the tergal plates of the abdomen, giving such shrimp a mottled appearance. This mottling later fades in moribund </w:t>
      </w:r>
      <w:r w:rsidRPr="00A547B4">
        <w:rPr>
          <w:rFonts w:ascii="Söhne" w:eastAsia="Times New Roman" w:hAnsi="Söhne" w:cs="Times New Roman"/>
          <w:bCs/>
          <w:i/>
          <w:iCs/>
          <w:strike/>
          <w:sz w:val="18"/>
          <w:lang w:val="en-IE"/>
        </w:rPr>
        <w:t>P. stylirostris</w:t>
      </w:r>
      <w:r w:rsidRPr="00A547B4">
        <w:rPr>
          <w:rFonts w:ascii="Söhne" w:eastAsia="Times New Roman" w:hAnsi="Söhne" w:cs="Times New Roman"/>
          <w:bCs/>
          <w:strike/>
          <w:sz w:val="18"/>
          <w:lang w:val="en-IE"/>
        </w:rPr>
        <w:t xml:space="preserve"> and individuals become more bluish. In </w:t>
      </w:r>
      <w:r w:rsidRPr="00A547B4">
        <w:rPr>
          <w:rFonts w:ascii="Söhne" w:eastAsia="Times New Roman" w:hAnsi="Söhne" w:cs="Times New Roman"/>
          <w:bCs/>
          <w:i/>
          <w:iCs/>
          <w:strike/>
          <w:sz w:val="18"/>
          <w:lang w:val="en-IE"/>
        </w:rPr>
        <w:t>P. stylirostris</w:t>
      </w:r>
      <w:r w:rsidRPr="00A547B4">
        <w:rPr>
          <w:rFonts w:ascii="Söhne" w:eastAsia="Times New Roman" w:hAnsi="Söhne" w:cs="Times New Roman"/>
          <w:bCs/>
          <w:strike/>
          <w:sz w:val="18"/>
          <w:lang w:val="en-IE"/>
        </w:rPr>
        <w:t xml:space="preserve"> and P. monodon with terminal-phase infection with IHHNV, moribund shrimp are often distinctly bluish in colour, with opaque abdominal musculature (Lightner </w:t>
      </w:r>
      <w:r w:rsidRPr="00A547B4">
        <w:rPr>
          <w:rFonts w:ascii="Söhne" w:eastAsia="Times New Roman" w:hAnsi="Söhne" w:cs="Times New Roman"/>
          <w:bCs/>
          <w:i/>
          <w:iCs/>
          <w:strike/>
          <w:sz w:val="18"/>
          <w:lang w:val="en-IE"/>
        </w:rPr>
        <w:t>et al.,</w:t>
      </w:r>
      <w:r w:rsidRPr="00A547B4">
        <w:rPr>
          <w:rFonts w:ascii="Söhne" w:eastAsia="Times New Roman" w:hAnsi="Söhne" w:cs="Times New Roman"/>
          <w:bCs/>
          <w:strike/>
          <w:sz w:val="18"/>
          <w:lang w:val="en-IE"/>
        </w:rPr>
        <w:t xml:space="preserve"> 1983).</w:t>
      </w:r>
    </w:p>
    <w:p w14:paraId="3B38A13C" w14:textId="77777777" w:rsidR="00983C95" w:rsidRPr="00A547B4" w:rsidRDefault="00983C95" w:rsidP="00983C95">
      <w:pPr>
        <w:spacing w:after="120" w:line="240" w:lineRule="auto"/>
        <w:ind w:left="851"/>
        <w:jc w:val="both"/>
        <w:rPr>
          <w:rFonts w:ascii="Söhne" w:eastAsia="Times New Roman" w:hAnsi="Söhne" w:cs="Times New Roman"/>
          <w:bCs/>
          <w:strike/>
          <w:sz w:val="18"/>
          <w:lang w:val="en-GB"/>
        </w:rPr>
      </w:pPr>
      <w:r w:rsidRPr="00A547B4">
        <w:rPr>
          <w:rFonts w:ascii="Söhne" w:eastAsia="Times New Roman" w:hAnsi="Söhne" w:cs="Times New Roman"/>
          <w:bCs/>
          <w:i/>
          <w:iCs/>
          <w:strike/>
          <w:sz w:val="18"/>
          <w:lang w:val="en-GB"/>
        </w:rPr>
        <w:t>Infection with IHHNV in</w:t>
      </w:r>
      <w:r w:rsidRPr="00A547B4">
        <w:rPr>
          <w:rFonts w:ascii="Söhne" w:eastAsia="Times New Roman" w:hAnsi="Söhne" w:cs="Times New Roman"/>
          <w:bCs/>
          <w:strike/>
          <w:sz w:val="18"/>
          <w:lang w:val="en-GB"/>
        </w:rPr>
        <w:t xml:space="preserve"> Penaeus vannamei</w:t>
      </w:r>
    </w:p>
    <w:p w14:paraId="068E5A09"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trike/>
          <w:sz w:val="18"/>
          <w:lang w:val="en-IE"/>
        </w:rPr>
        <w:t xml:space="preserve">RDS, a chronic form of infection with IHHNV, occurs in </w:t>
      </w:r>
      <w:r w:rsidRPr="00A547B4">
        <w:rPr>
          <w:rFonts w:ascii="Söhne" w:eastAsia="Times New Roman" w:hAnsi="Söhne" w:cs="Times New Roman"/>
          <w:bCs/>
          <w:i/>
          <w:iCs/>
          <w:strike/>
          <w:sz w:val="18"/>
          <w:lang w:val="en-IE"/>
        </w:rPr>
        <w:t>P. vannamei.</w:t>
      </w:r>
      <w:r w:rsidRPr="00A547B4">
        <w:rPr>
          <w:rFonts w:ascii="Söhne" w:eastAsia="Times New Roman" w:hAnsi="Söhne" w:cs="Times New Roman"/>
          <w:bCs/>
          <w:strike/>
          <w:sz w:val="18"/>
          <w:lang w:val="en-IE"/>
        </w:rPr>
        <w:t xml:space="preserve"> The severity and prevalence of RDS in infected populations of juvenile or older </w:t>
      </w:r>
      <w:r w:rsidRPr="00A547B4">
        <w:rPr>
          <w:rFonts w:ascii="Söhne" w:eastAsia="Times New Roman" w:hAnsi="Söhne" w:cs="Times New Roman"/>
          <w:bCs/>
          <w:i/>
          <w:iCs/>
          <w:strike/>
          <w:sz w:val="18"/>
          <w:lang w:val="en-IE"/>
        </w:rPr>
        <w:t>P. vannamei</w:t>
      </w:r>
      <w:r w:rsidRPr="00A547B4">
        <w:rPr>
          <w:rFonts w:ascii="Söhne" w:eastAsia="Times New Roman" w:hAnsi="Söhne" w:cs="Times New Roman"/>
          <w:bCs/>
          <w:strike/>
          <w:sz w:val="18"/>
          <w:lang w:val="en-IE"/>
        </w:rPr>
        <w:t xml:space="preserve"> may be related to infection during the larval or early postlarval stages. RDS has also been reported in cultured stocks of </w:t>
      </w:r>
      <w:r w:rsidRPr="00A547B4">
        <w:rPr>
          <w:rFonts w:ascii="Söhne" w:eastAsia="Times New Roman" w:hAnsi="Söhne" w:cs="Times New Roman"/>
          <w:bCs/>
          <w:i/>
          <w:iCs/>
          <w:strike/>
          <w:sz w:val="18"/>
          <w:lang w:val="en-IE"/>
        </w:rPr>
        <w:t>P. stylirostris</w:t>
      </w:r>
      <w:r w:rsidRPr="00A547B4">
        <w:rPr>
          <w:rFonts w:ascii="Söhne" w:eastAsia="Times New Roman" w:hAnsi="Söhne" w:cs="Times New Roman"/>
          <w:bCs/>
          <w:strike/>
          <w:sz w:val="18"/>
          <w:lang w:val="en-IE"/>
        </w:rPr>
        <w:t xml:space="preserve"> and </w:t>
      </w:r>
      <w:r w:rsidRPr="00A547B4">
        <w:rPr>
          <w:rFonts w:ascii="Söhne" w:eastAsia="Times New Roman" w:hAnsi="Söhne" w:cs="Times New Roman"/>
          <w:bCs/>
          <w:i/>
          <w:iCs/>
          <w:strike/>
          <w:sz w:val="18"/>
          <w:lang w:val="en-IE"/>
        </w:rPr>
        <w:t>P. monodon</w:t>
      </w:r>
      <w:r w:rsidRPr="00A547B4">
        <w:rPr>
          <w:rFonts w:ascii="Söhne" w:eastAsia="Times New Roman" w:hAnsi="Söhne" w:cs="Times New Roman"/>
          <w:bCs/>
          <w:strike/>
          <w:sz w:val="18"/>
          <w:lang w:val="en-IE"/>
        </w:rPr>
        <w:t>.</w:t>
      </w:r>
      <w:r w:rsidRPr="00A547B4">
        <w:rPr>
          <w:rFonts w:ascii="Söhne" w:eastAsia="Times New Roman" w:hAnsi="Söhne" w:cs="Times New Roman"/>
          <w:bCs/>
          <w:sz w:val="18"/>
          <w:lang w:val="en-IE"/>
        </w:rPr>
        <w:t xml:space="preserve"> Juvenile shrimp with RDS may display a bent (45° to 90</w:t>
      </w:r>
      <w:r w:rsidRPr="00A547B4">
        <w:rPr>
          <w:rFonts w:ascii="Symbol" w:eastAsia="Symbol" w:hAnsi="Symbol" w:cs="Symbol"/>
          <w:bCs/>
          <w:sz w:val="18"/>
          <w:lang w:val="en-IE"/>
        </w:rPr>
        <w:t>°</w:t>
      </w:r>
      <w:r w:rsidRPr="00A547B4">
        <w:rPr>
          <w:rFonts w:ascii="Söhne" w:eastAsia="Times New Roman" w:hAnsi="Söhne" w:cs="Times New Roman"/>
          <w:bCs/>
          <w:sz w:val="18"/>
          <w:lang w:val="en-IE"/>
        </w:rPr>
        <w:t xml:space="preserve"> bend to left or right) or otherwise deformed rostrum, a deformed sixth abdominal segment, wrinkled antennal flagella, cuticular roughness, ‘bubble-heads’, and other cuticular deformities. Populations of juvenile shrimp with RDS display disparate growth with a wide distribution of sizes and many smaller than expected (‘runted’) shrimp. The coefficient of variation (CV = the standard deviation divided by the mean of different size groups within a population) for populations with RDS is typically greater than 30% and may approach 90%, while populations of juvenile </w:t>
      </w:r>
      <w:r w:rsidRPr="00A547B4">
        <w:rPr>
          <w:rFonts w:ascii="Söhne" w:eastAsia="Times New Roman" w:hAnsi="Söhne" w:cs="Times New Roman"/>
          <w:bCs/>
          <w:i/>
          <w:iCs/>
          <w:sz w:val="18"/>
          <w:lang w:val="en-IE"/>
        </w:rPr>
        <w:t xml:space="preserve">P. vannamei </w:t>
      </w:r>
      <w:r w:rsidRPr="00A547B4">
        <w:rPr>
          <w:rFonts w:ascii="Söhne" w:eastAsia="Times New Roman" w:hAnsi="Söhne" w:cs="Times New Roman"/>
          <w:bCs/>
          <w:sz w:val="18"/>
          <w:lang w:val="en-IE"/>
        </w:rPr>
        <w:t xml:space="preserve">and </w:t>
      </w:r>
      <w:r w:rsidRPr="00A547B4">
        <w:rPr>
          <w:rFonts w:ascii="Söhne" w:eastAsia="Times New Roman" w:hAnsi="Söhne" w:cs="Times New Roman"/>
          <w:bCs/>
          <w:i/>
          <w:iCs/>
          <w:sz w:val="18"/>
          <w:lang w:val="en-IE"/>
        </w:rPr>
        <w:t>P. stylirostris</w:t>
      </w:r>
      <w:r w:rsidRPr="00A547B4">
        <w:rPr>
          <w:rFonts w:ascii="Söhne" w:eastAsia="Times New Roman" w:hAnsi="Söhne" w:cs="Times New Roman"/>
          <w:bCs/>
          <w:sz w:val="18"/>
          <w:lang w:val="en-IE"/>
        </w:rPr>
        <w:t xml:space="preserve"> free from infection with IHHNV (and thus RDS-free) usually show CVs of 10–30% (Lightner, 1996; Primavera &amp; Quinitio, 2000).</w:t>
      </w:r>
    </w:p>
    <w:p w14:paraId="1E20B994"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2.3.4.</w:t>
      </w:r>
      <w:r w:rsidRPr="00A547B4">
        <w:rPr>
          <w:rFonts w:ascii="Söhne Kräftig" w:eastAsia="Times New Roman" w:hAnsi="Söhne Kräftig" w:cs="Times New Roman"/>
          <w:bCs/>
          <w:sz w:val="20"/>
          <w:lang w:val="en-GB" w:eastAsia="fr-FR"/>
        </w:rPr>
        <w:tab/>
        <w:t>Modes of transmission and life cycle</w:t>
      </w:r>
    </w:p>
    <w:p w14:paraId="687C1FFB"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Transmission of IHHNV can be by horizontal or vertical. Horizontal transmission has been demonstrated by cannibalism or by contaminated water (Lightner, 1996; Lightner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1983), and vertical transmission via infected eggs (Motte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2003).</w:t>
      </w:r>
    </w:p>
    <w:p w14:paraId="7CE3C961"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2.3.5.</w:t>
      </w:r>
      <w:r w:rsidRPr="00A547B4">
        <w:rPr>
          <w:rFonts w:ascii="Söhne Kräftig" w:eastAsia="Times New Roman" w:hAnsi="Söhne Kräftig" w:cs="Times New Roman"/>
          <w:bCs/>
          <w:sz w:val="20"/>
          <w:lang w:val="en-GB" w:eastAsia="fr-FR"/>
        </w:rPr>
        <w:tab/>
        <w:t xml:space="preserve">Environmental factors </w:t>
      </w:r>
    </w:p>
    <w:p w14:paraId="49B18F57"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The replication rate of IHHNV at high water temperatures was significantly reduced in a study in which viral replication was compared in </w:t>
      </w:r>
      <w:r w:rsidRPr="00A547B4">
        <w:rPr>
          <w:rFonts w:ascii="Söhne" w:eastAsia="Times New Roman" w:hAnsi="Söhne" w:cs="Times New Roman"/>
          <w:bCs/>
          <w:i/>
          <w:sz w:val="18"/>
          <w:lang w:val="en-IE"/>
        </w:rPr>
        <w:t>P.</w:t>
      </w:r>
      <w:r w:rsidRPr="00A547B4">
        <w:rPr>
          <w:rFonts w:ascii="Söhne" w:eastAsia="Times New Roman" w:hAnsi="Söhne" w:cs="Times New Roman"/>
          <w:bCs/>
          <w:sz w:val="18"/>
          <w:lang w:val="en-IE"/>
        </w:rPr>
        <w:t xml:space="preserve"> </w:t>
      </w:r>
      <w:r w:rsidRPr="00A547B4">
        <w:rPr>
          <w:rFonts w:ascii="Söhne" w:eastAsia="Times New Roman" w:hAnsi="Söhne" w:cs="Times New Roman"/>
          <w:bCs/>
          <w:i/>
          <w:sz w:val="18"/>
          <w:lang w:val="en-IE"/>
        </w:rPr>
        <w:t>vannamei</w:t>
      </w:r>
      <w:r w:rsidRPr="00A547B4">
        <w:rPr>
          <w:rFonts w:ascii="Söhne" w:eastAsia="Times New Roman" w:hAnsi="Söhne" w:cs="Times New Roman"/>
          <w:bCs/>
          <w:sz w:val="18"/>
          <w:lang w:val="en-IE"/>
        </w:rPr>
        <w:t xml:space="preserve"> experimentally infected and held at 24°C and 32°C. After a suitable incubation period, shrimp held at 32°C had approximately 10</w:t>
      </w:r>
      <w:r w:rsidRPr="00A547B4">
        <w:rPr>
          <w:rFonts w:ascii="Söhne" w:eastAsia="Times New Roman" w:hAnsi="Söhne" w:cs="Times New Roman"/>
          <w:bCs/>
          <w:sz w:val="18"/>
          <w:vertAlign w:val="superscript"/>
          <w:lang w:val="en-IE"/>
        </w:rPr>
        <w:t>2</w:t>
      </w:r>
      <w:r w:rsidRPr="00A547B4">
        <w:rPr>
          <w:rFonts w:ascii="Söhne" w:eastAsia="Times New Roman" w:hAnsi="Söhne" w:cs="Times New Roman"/>
          <w:bCs/>
          <w:sz w:val="18"/>
          <w:lang w:val="en-IE"/>
        </w:rPr>
        <w:t xml:space="preserve"> times lower viral load than shrimp held at 24°C (Montgomery-Brock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2007). </w:t>
      </w:r>
    </w:p>
    <w:p w14:paraId="3BD4D53F"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2.3.6.</w:t>
      </w:r>
      <w:r w:rsidRPr="00A547B4">
        <w:rPr>
          <w:rFonts w:ascii="Söhne Kräftig" w:eastAsia="Times New Roman" w:hAnsi="Söhne Kräftig" w:cs="Times New Roman"/>
          <w:bCs/>
          <w:sz w:val="20"/>
          <w:lang w:val="en-GB" w:eastAsia="fr-FR"/>
        </w:rPr>
        <w:tab/>
        <w:t>Geographical distribution</w:t>
      </w:r>
    </w:p>
    <w:p w14:paraId="6F05A727"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Infection with IHHNV has been reported from cultured </w:t>
      </w:r>
      <w:r w:rsidRPr="00A547B4">
        <w:rPr>
          <w:rFonts w:ascii="Söhne" w:eastAsia="Times New Roman" w:hAnsi="Söhne" w:cs="Times New Roman"/>
          <w:bCs/>
          <w:iCs/>
          <w:sz w:val="18"/>
          <w:lang w:val="en-IE"/>
        </w:rPr>
        <w:t>shrimp</w:t>
      </w:r>
      <w:r w:rsidRPr="00A547B4">
        <w:rPr>
          <w:rFonts w:ascii="Söhne" w:eastAsia="Times New Roman" w:hAnsi="Söhne" w:cs="Times New Roman"/>
          <w:bCs/>
          <w:sz w:val="18"/>
          <w:lang w:val="en-IE"/>
        </w:rPr>
        <w:t xml:space="preserve"> in most of the major shrimp-culturing regions of the world including Asia, Oceania, North and South America and the Middle East. </w:t>
      </w:r>
    </w:p>
    <w:p w14:paraId="46EA7822"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IHHNV homologous sequences have been found within the genome of </w:t>
      </w:r>
      <w:r w:rsidRPr="00A547B4">
        <w:rPr>
          <w:rFonts w:ascii="Söhne" w:eastAsia="Times New Roman" w:hAnsi="Söhne" w:cs="Times New Roman"/>
          <w:bCs/>
          <w:i/>
          <w:sz w:val="18"/>
          <w:lang w:val="en-IE"/>
        </w:rPr>
        <w:t>P. monodon</w:t>
      </w:r>
      <w:r w:rsidRPr="00A547B4">
        <w:rPr>
          <w:rFonts w:ascii="Söhne" w:eastAsia="Times New Roman" w:hAnsi="Söhne" w:cs="Times New Roman"/>
          <w:bCs/>
          <w:sz w:val="18"/>
          <w:lang w:val="en-IE"/>
        </w:rPr>
        <w:t xml:space="preserve"> from East Africa, Australia, and the western Indo-Pacific region (Tang &amp; Lightner, 2006; Tang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2007). These sequences do not represent viral DNA (refer Section 2.1.1 </w:t>
      </w:r>
      <w:r w:rsidRPr="00A547B4">
        <w:rPr>
          <w:rFonts w:ascii="Söhne" w:eastAsia="Times New Roman" w:hAnsi="Söhne" w:cs="Times New Roman"/>
          <w:bCs/>
          <w:i/>
          <w:iCs/>
          <w:sz w:val="18"/>
          <w:lang w:val="en-IE"/>
        </w:rPr>
        <w:t>Aetiological agent</w:t>
      </w:r>
      <w:r w:rsidRPr="00A547B4">
        <w:rPr>
          <w:rFonts w:ascii="Söhne" w:eastAsia="Times New Roman" w:hAnsi="Söhne" w:cs="Times New Roman"/>
          <w:bCs/>
          <w:sz w:val="18"/>
          <w:lang w:val="en-IE"/>
        </w:rPr>
        <w:t>).</w:t>
      </w:r>
    </w:p>
    <w:p w14:paraId="2C0F78A9" w14:textId="77777777" w:rsidR="00983C95" w:rsidRPr="00A547B4" w:rsidRDefault="00983C95" w:rsidP="00983C95">
      <w:pPr>
        <w:spacing w:after="240" w:line="240" w:lineRule="auto"/>
        <w:ind w:left="851"/>
        <w:jc w:val="both"/>
        <w:rPr>
          <w:rFonts w:ascii="Söhne" w:eastAsia="Times New Roman" w:hAnsi="Söhne" w:cs="Arial"/>
          <w:bCs/>
          <w:sz w:val="18"/>
          <w:lang w:val="en-IE" w:eastAsia="fr-FR"/>
        </w:rPr>
      </w:pPr>
      <w:r w:rsidRPr="00A547B4">
        <w:rPr>
          <w:rFonts w:ascii="Söhne" w:eastAsia="Times New Roman" w:hAnsi="Söhne" w:cs="Arial"/>
          <w:bCs/>
          <w:sz w:val="18"/>
          <w:szCs w:val="18"/>
          <w:lang w:val="en-IE" w:eastAsia="fr-FR"/>
        </w:rPr>
        <w:t>See WOAH WAHIS (</w:t>
      </w:r>
      <w:r w:rsidRPr="00A547B4">
        <w:rPr>
          <w:rFonts w:ascii="Söhne" w:eastAsia="Times New Roman" w:hAnsi="Söhne" w:cs="Arial"/>
          <w:bCs/>
          <w:color w:val="0563C1"/>
          <w:sz w:val="18"/>
          <w:szCs w:val="18"/>
          <w:u w:val="single"/>
          <w:lang w:val="en-IE"/>
        </w:rPr>
        <w:t>https://wahis.woah.org/#/home</w:t>
      </w:r>
      <w:r w:rsidRPr="00A547B4">
        <w:rPr>
          <w:rFonts w:ascii="Söhne" w:eastAsia="Times New Roman" w:hAnsi="Söhne" w:cs="Arial"/>
          <w:bCs/>
          <w:sz w:val="18"/>
          <w:szCs w:val="18"/>
          <w:lang w:val="en-IE" w:eastAsia="fr-FR"/>
        </w:rPr>
        <w:t>) for recent informati</w:t>
      </w:r>
      <w:r w:rsidRPr="00A547B4">
        <w:rPr>
          <w:rFonts w:ascii="Söhne" w:eastAsia="Times New Roman" w:hAnsi="Söhne" w:cs="Arial"/>
          <w:bCs/>
          <w:sz w:val="18"/>
          <w:lang w:val="en-IE" w:eastAsia="fr-FR"/>
        </w:rPr>
        <w:t>on on distribution at the country level</w:t>
      </w:r>
      <w:r w:rsidRPr="00A547B4">
        <w:rPr>
          <w:rFonts w:ascii="Söhne" w:eastAsia="Times New Roman" w:hAnsi="Söhne" w:cs="Arial"/>
          <w:bCs/>
          <w:color w:val="00B050"/>
          <w:sz w:val="18"/>
          <w:lang w:val="en-IE" w:eastAsia="fr-FR"/>
        </w:rPr>
        <w:t>.</w:t>
      </w:r>
    </w:p>
    <w:p w14:paraId="6894A9BC"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lastRenderedPageBreak/>
        <w:t>2.4.</w:t>
      </w:r>
      <w:r w:rsidRPr="00A547B4">
        <w:rPr>
          <w:rFonts w:ascii="Söhne Kräftig" w:eastAsia="MS Mincho" w:hAnsi="Söhne Kräftig" w:cs="Times New Roman"/>
          <w:sz w:val="21"/>
          <w:szCs w:val="20"/>
          <w:lang w:val="da-DK" w:eastAsia="da-DK"/>
        </w:rPr>
        <w:tab/>
        <w:t xml:space="preserve">Biosecurity and disease control strategies </w:t>
      </w:r>
    </w:p>
    <w:p w14:paraId="2A406FEF"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2.4.1.</w:t>
      </w:r>
      <w:r w:rsidRPr="00A547B4">
        <w:rPr>
          <w:rFonts w:ascii="Söhne Kräftig" w:eastAsia="Times New Roman" w:hAnsi="Söhne Kräftig" w:cs="Times New Roman"/>
          <w:bCs/>
          <w:sz w:val="20"/>
          <w:lang w:val="en-GB" w:eastAsia="fr-FR"/>
        </w:rPr>
        <w:tab/>
        <w:t>Vaccination</w:t>
      </w:r>
    </w:p>
    <w:p w14:paraId="0512E71D"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None available. </w:t>
      </w:r>
    </w:p>
    <w:p w14:paraId="4138FB5B"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2.4.2.</w:t>
      </w:r>
      <w:r w:rsidRPr="00A547B4">
        <w:rPr>
          <w:rFonts w:ascii="Söhne Kräftig" w:eastAsia="Times New Roman" w:hAnsi="Söhne Kräftig" w:cs="Times New Roman"/>
          <w:bCs/>
          <w:sz w:val="20"/>
          <w:lang w:val="en-GB" w:eastAsia="fr-FR"/>
        </w:rPr>
        <w:tab/>
        <w:t>Chemotherapy including blocking agents</w:t>
      </w:r>
    </w:p>
    <w:p w14:paraId="420FB843"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No scientifically confirmed reports. </w:t>
      </w:r>
    </w:p>
    <w:p w14:paraId="701CB2E3"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2.4.3.</w:t>
      </w:r>
      <w:r w:rsidRPr="00A547B4">
        <w:rPr>
          <w:rFonts w:ascii="Söhne Kräftig" w:eastAsia="Times New Roman" w:hAnsi="Söhne Kräftig" w:cs="Times New Roman"/>
          <w:bCs/>
          <w:sz w:val="20"/>
          <w:lang w:val="en-GB" w:eastAsia="fr-FR"/>
        </w:rPr>
        <w:tab/>
        <w:t>Immunostimulation</w:t>
      </w:r>
    </w:p>
    <w:p w14:paraId="1807926C"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No scientifically confirmed reports. </w:t>
      </w:r>
    </w:p>
    <w:p w14:paraId="7588F8B2"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2.4.4.</w:t>
      </w:r>
      <w:r w:rsidRPr="00A547B4">
        <w:rPr>
          <w:rFonts w:ascii="Söhne Kräftig" w:eastAsia="Times New Roman" w:hAnsi="Söhne Kräftig" w:cs="Times New Roman"/>
          <w:bCs/>
          <w:sz w:val="20"/>
          <w:lang w:val="en-GB" w:eastAsia="fr-FR"/>
        </w:rPr>
        <w:tab/>
        <w:t>Breeding resistant strains</w:t>
      </w:r>
    </w:p>
    <w:p w14:paraId="22B9BF19"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Selected stocks of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that are resistant to infection with IHHNV have been developed and these have had some successful application in shrimp farms (Lightner, 1996). However, lines of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bred for resistance to infection with IHHNV (Tang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2000) do not have increased resistance to other diseases, such as white spot syndrome virus (WSSV), so their use has been limited. In some stocks a genetic basis for IHHNV susceptibility in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has been reported (Alcivar-Warren </w:t>
      </w:r>
      <w:r w:rsidRPr="00A547B4">
        <w:rPr>
          <w:rFonts w:ascii="Söhne" w:eastAsia="Times New Roman" w:hAnsi="Söhne" w:cs="Times New Roman"/>
          <w:bCs/>
          <w:i/>
          <w:iCs/>
          <w:sz w:val="18"/>
          <w:lang w:val="en-IE"/>
        </w:rPr>
        <w:t xml:space="preserve">et al., </w:t>
      </w:r>
      <w:r w:rsidRPr="00A547B4">
        <w:rPr>
          <w:rFonts w:ascii="Söhne" w:eastAsia="Times New Roman" w:hAnsi="Söhne" w:cs="Times New Roman"/>
          <w:bCs/>
          <w:sz w:val="18"/>
          <w:lang w:val="en-IE"/>
        </w:rPr>
        <w:t>1997).</w:t>
      </w:r>
    </w:p>
    <w:p w14:paraId="4AE4F46E"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2.4.5.</w:t>
      </w:r>
      <w:r w:rsidRPr="00A547B4">
        <w:rPr>
          <w:rFonts w:ascii="Söhne Kräftig" w:eastAsia="Times New Roman" w:hAnsi="Söhne Kräftig" w:cs="Times New Roman"/>
          <w:bCs/>
          <w:sz w:val="20"/>
          <w:lang w:val="en-GB" w:eastAsia="fr-FR"/>
        </w:rPr>
        <w:tab/>
        <w:t>Inactivation methods</w:t>
      </w:r>
    </w:p>
    <w:p w14:paraId="4C81EB57" w14:textId="77777777" w:rsidR="00983C95" w:rsidRPr="00A547B4" w:rsidRDefault="00983C95" w:rsidP="00983C95">
      <w:pPr>
        <w:spacing w:after="240" w:line="240" w:lineRule="auto"/>
        <w:ind w:left="851"/>
        <w:jc w:val="both"/>
        <w:rPr>
          <w:rFonts w:ascii="Söhne" w:eastAsia="Calibri" w:hAnsi="Söhne" w:cs="Times New Roman"/>
          <w:bCs/>
          <w:sz w:val="18"/>
          <w:lang w:val="en-IE"/>
        </w:rPr>
      </w:pPr>
      <w:r w:rsidRPr="00A547B4">
        <w:rPr>
          <w:rFonts w:ascii="Söhne" w:eastAsia="Calibri" w:hAnsi="Söhne" w:cs="Times New Roman"/>
          <w:bCs/>
          <w:sz w:val="18"/>
          <w:lang w:val="en-IE"/>
        </w:rPr>
        <w:t>IHHNV is a stable shrimp virus; infected tissues remain infectious after repeated cycles of freeze–thawing and after storage in 50% glycerine (Lightner, 1996; Lightner et al., 2009).</w:t>
      </w:r>
    </w:p>
    <w:p w14:paraId="2F2E381B"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2.4.6.</w:t>
      </w:r>
      <w:r w:rsidRPr="00A547B4">
        <w:rPr>
          <w:rFonts w:ascii="Söhne Kräftig" w:eastAsia="Times New Roman" w:hAnsi="Söhne Kräftig" w:cs="Times New Roman"/>
          <w:bCs/>
          <w:sz w:val="20"/>
          <w:lang w:val="en-GB" w:eastAsia="fr-FR"/>
        </w:rPr>
        <w:tab/>
        <w:t>Disinfection of eggs and larvae</w:t>
      </w:r>
    </w:p>
    <w:p w14:paraId="1B2B32EF"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IHHNV is transmitted vertically by the transovarian route (Motte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2003). Disinfection of eggs and larvae is good management practice (Chen </w:t>
      </w:r>
      <w:r w:rsidRPr="00A547B4">
        <w:rPr>
          <w:rFonts w:ascii="Söhne" w:eastAsia="Times New Roman" w:hAnsi="Söhne" w:cs="Times New Roman"/>
          <w:bCs/>
          <w:i/>
          <w:sz w:val="18"/>
          <w:lang w:val="en-IE"/>
        </w:rPr>
        <w:t>et al.,</w:t>
      </w:r>
      <w:r w:rsidRPr="00A547B4">
        <w:rPr>
          <w:rFonts w:ascii="Söhne" w:eastAsia="Times New Roman" w:hAnsi="Söhne" w:cs="Times New Roman"/>
          <w:bCs/>
          <w:sz w:val="18"/>
          <w:lang w:val="en-IE"/>
        </w:rPr>
        <w:t xml:space="preserve"> 1992) that may reduce IHHNV contamination of spawned eggs and larvae but is not effective for preventing transovarian transmission of IHHNV (Motte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2003).</w:t>
      </w:r>
    </w:p>
    <w:p w14:paraId="634DCD78"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2.4.7.</w:t>
      </w:r>
      <w:r w:rsidRPr="00A547B4">
        <w:rPr>
          <w:rFonts w:ascii="Söhne Kräftig" w:eastAsia="Times New Roman" w:hAnsi="Söhne Kräftig" w:cs="Times New Roman"/>
          <w:bCs/>
          <w:sz w:val="20"/>
          <w:lang w:val="en-GB" w:eastAsia="fr-FR"/>
        </w:rPr>
        <w:tab/>
        <w:t>General husbandry</w:t>
      </w:r>
    </w:p>
    <w:p w14:paraId="3AD05BD8"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 xml:space="preserve">Some husbandry practices have been successful in preventing the spread of IHHNV. Among these has been the application of PCR pre-screening of wild or pond-reared broodstock or their spawned eggs/nauplii and discarding those that test positive for the virus (Motte </w:t>
      </w:r>
      <w:r w:rsidRPr="00A547B4">
        <w:rPr>
          <w:rFonts w:ascii="Söhne" w:eastAsia="Times New Roman" w:hAnsi="Söhne" w:cs="Times New Roman"/>
          <w:bCs/>
          <w:i/>
          <w:iCs/>
          <w:sz w:val="18"/>
          <w:lang w:val="en-IE"/>
        </w:rPr>
        <w:t>et al.,</w:t>
      </w:r>
      <w:r w:rsidRPr="00A547B4">
        <w:rPr>
          <w:rFonts w:ascii="Söhne" w:eastAsia="Times New Roman" w:hAnsi="Söhne" w:cs="Times New Roman"/>
          <w:bCs/>
          <w:sz w:val="18"/>
          <w:lang w:val="en-IE"/>
        </w:rPr>
        <w:t xml:space="preserve"> 2003), as well as the development of specific pathogen-free (SPF) shrimp stocks of </w:t>
      </w:r>
      <w:r w:rsidRPr="00A547B4">
        <w:rPr>
          <w:rFonts w:ascii="Söhne" w:eastAsia="Times New Roman" w:hAnsi="Söhne" w:cs="Times New Roman"/>
          <w:bCs/>
          <w:i/>
          <w:sz w:val="18"/>
          <w:lang w:val="en-IE"/>
        </w:rPr>
        <w:t>P. vannamei</w:t>
      </w:r>
      <w:r w:rsidRPr="00A547B4">
        <w:rPr>
          <w:rFonts w:ascii="Söhne" w:eastAsia="Times New Roman" w:hAnsi="Söhne" w:cs="Times New Roman"/>
          <w:bCs/>
          <w:sz w:val="18"/>
          <w:lang w:val="en-IE"/>
        </w:rPr>
        <w:t xml:space="preserve"> and </w:t>
      </w:r>
      <w:r w:rsidRPr="00A547B4">
        <w:rPr>
          <w:rFonts w:ascii="Söhne" w:eastAsia="Times New Roman" w:hAnsi="Söhne" w:cs="Times New Roman"/>
          <w:bCs/>
          <w:i/>
          <w:sz w:val="18"/>
          <w:lang w:val="en-IE"/>
        </w:rPr>
        <w:t>P. stylirostris</w:t>
      </w:r>
      <w:r w:rsidRPr="00A547B4">
        <w:rPr>
          <w:rFonts w:ascii="Söhne" w:eastAsia="Times New Roman" w:hAnsi="Söhne" w:cs="Times New Roman"/>
          <w:bCs/>
          <w:sz w:val="18"/>
          <w:lang w:val="en-IE"/>
        </w:rPr>
        <w:t xml:space="preserve"> (Lightner, 2005). The latter has proven to be the most successful husbandry practice for the prevention and control of infection with IHHNV (Lightner, 2005). </w:t>
      </w:r>
    </w:p>
    <w:p w14:paraId="666052D8" w14:textId="77777777" w:rsidR="00983C95" w:rsidRPr="00A547B4" w:rsidRDefault="00983C95" w:rsidP="00983C95">
      <w:pPr>
        <w:widowControl w:val="0"/>
        <w:spacing w:after="240" w:line="240" w:lineRule="auto"/>
        <w:ind w:left="284" w:right="-6" w:hanging="284"/>
        <w:jc w:val="both"/>
        <w:rPr>
          <w:rFonts w:ascii="Söhne Kräftig" w:eastAsia="Arial" w:hAnsi="Söhne Kräftig" w:cs="Arial"/>
          <w:szCs w:val="18"/>
          <w:lang w:val="en-US" w:bidi="en-US"/>
        </w:rPr>
      </w:pPr>
      <w:r w:rsidRPr="00A547B4">
        <w:rPr>
          <w:rFonts w:ascii="Söhne Kräftig" w:eastAsia="Arial" w:hAnsi="Söhne Kräftig" w:cs="Arial"/>
          <w:szCs w:val="18"/>
          <w:lang w:val="en-US" w:bidi="en-US"/>
        </w:rPr>
        <w:t>3.</w:t>
      </w:r>
      <w:r w:rsidRPr="00A547B4">
        <w:rPr>
          <w:rFonts w:ascii="Söhne Kräftig" w:eastAsia="Arial" w:hAnsi="Söhne Kräftig" w:cs="Arial"/>
          <w:szCs w:val="18"/>
          <w:lang w:val="en-US" w:bidi="en-US"/>
        </w:rPr>
        <w:tab/>
        <w:t xml:space="preserve">Specimen selection, sample collection, transportation and handling </w:t>
      </w:r>
    </w:p>
    <w:p w14:paraId="18571F75" w14:textId="77777777" w:rsidR="00983C95" w:rsidRPr="00A547B4" w:rsidRDefault="00983C95" w:rsidP="00983C95">
      <w:pPr>
        <w:spacing w:after="240" w:line="240" w:lineRule="auto"/>
        <w:jc w:val="both"/>
        <w:rPr>
          <w:rFonts w:ascii="Söhne" w:eastAsia="Times New Roman" w:hAnsi="Söhne" w:cs="Times New Roman"/>
          <w:sz w:val="18"/>
          <w:lang w:val="en-IE" w:bidi="en-US"/>
        </w:rPr>
      </w:pPr>
      <w:r w:rsidRPr="00A547B4">
        <w:rPr>
          <w:rFonts w:ascii="Söhne" w:eastAsia="Times New Roman" w:hAnsi="Söhne" w:cs="Times New Roman"/>
          <w:sz w:val="18"/>
          <w:lang w:val="en-IE" w:bidi="en-US"/>
        </w:rPr>
        <w:t>This section draws on information in Sections 2.2, 2.3 and 2.4 to identify populations, individuals and samples that are most likely to be infected.</w:t>
      </w:r>
    </w:p>
    <w:p w14:paraId="615E9010"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3.1.</w:t>
      </w:r>
      <w:r w:rsidRPr="00A547B4">
        <w:rPr>
          <w:rFonts w:ascii="Söhne Kräftig" w:eastAsia="MS Mincho" w:hAnsi="Söhne Kräftig" w:cs="Times New Roman"/>
          <w:sz w:val="21"/>
          <w:szCs w:val="20"/>
          <w:lang w:val="da-DK" w:eastAsia="da-DK"/>
        </w:rPr>
        <w:tab/>
        <w:t xml:space="preserve">Selection of populations and individual specimens </w:t>
      </w:r>
    </w:p>
    <w:p w14:paraId="03C99760" w14:textId="77777777" w:rsidR="00983C95" w:rsidRPr="00A547B4" w:rsidRDefault="00983C95" w:rsidP="00983C95">
      <w:pPr>
        <w:spacing w:after="240" w:line="240" w:lineRule="auto"/>
        <w:ind w:left="284"/>
        <w:jc w:val="both"/>
        <w:rPr>
          <w:rFonts w:ascii="Söhne" w:eastAsia="Times New Roman" w:hAnsi="Söhne" w:cs="Times New Roman"/>
          <w:sz w:val="18"/>
          <w:szCs w:val="18"/>
          <w:lang w:val="en-IE"/>
        </w:rPr>
      </w:pPr>
      <w:r w:rsidRPr="00A547B4">
        <w:rPr>
          <w:rFonts w:ascii="Söhne" w:eastAsia="Times New Roman" w:hAnsi="Söhne" w:cs="Times New Roman"/>
          <w:sz w:val="18"/>
          <w:szCs w:val="18"/>
          <w:highlight w:val="yellow"/>
          <w:u w:val="double"/>
          <w:lang w:val="en-IE"/>
        </w:rPr>
        <w:t>Specimens suitable for testing for infection with IHHNV include postlarvae (PL), juveniles and adults. While IHHNV may infect all life stages, virus load</w:t>
      </w:r>
      <w:r w:rsidRPr="00A547B4">
        <w:rPr>
          <w:rFonts w:ascii="Söhne" w:eastAsia="Times New Roman" w:hAnsi="Söhne" w:cs="Times New Roman"/>
          <w:sz w:val="18"/>
          <w:szCs w:val="18"/>
          <w:highlight w:val="yellow"/>
          <w:lang w:val="en-IE"/>
        </w:rPr>
        <w:t xml:space="preserve"> </w:t>
      </w:r>
      <w:r w:rsidRPr="00A547B4">
        <w:rPr>
          <w:rFonts w:ascii="Söhne" w:eastAsia="Times New Roman" w:hAnsi="Söhne" w:cs="Times New Roman"/>
          <w:strike/>
          <w:sz w:val="18"/>
          <w:szCs w:val="18"/>
          <w:highlight w:val="yellow"/>
          <w:lang w:val="en-IE"/>
        </w:rPr>
        <w:t>Infection with IHHNV</w:t>
      </w:r>
      <w:r w:rsidRPr="00A547B4">
        <w:rPr>
          <w:rFonts w:ascii="Söhne" w:eastAsia="Times New Roman" w:hAnsi="Söhne" w:cs="Times New Roman"/>
          <w:strike/>
          <w:sz w:val="18"/>
          <w:szCs w:val="18"/>
          <w:lang w:val="en-IE"/>
        </w:rPr>
        <w:t xml:space="preserve"> </w:t>
      </w:r>
      <w:r w:rsidRPr="00A547B4">
        <w:rPr>
          <w:rFonts w:ascii="Söhne" w:eastAsia="Times New Roman" w:hAnsi="Söhne" w:cs="Times New Roman"/>
          <w:sz w:val="18"/>
          <w:szCs w:val="18"/>
          <w:lang w:val="en-IE"/>
        </w:rPr>
        <w:t>may be below detection limits in spawned eggs and larval stages, so these life stages are not suitable for surveillance to demonstrate freedom from infection with IHHNV.</w:t>
      </w:r>
    </w:p>
    <w:p w14:paraId="67C0DE04"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3.2.</w:t>
      </w:r>
      <w:r w:rsidRPr="00A547B4">
        <w:rPr>
          <w:rFonts w:ascii="Söhne Kräftig" w:eastAsia="MS Mincho" w:hAnsi="Söhne Kräftig" w:cs="Times New Roman"/>
          <w:sz w:val="21"/>
          <w:szCs w:val="20"/>
          <w:lang w:val="da-DK" w:eastAsia="da-DK"/>
        </w:rPr>
        <w:tab/>
        <w:t>Selection of organs or tissues</w:t>
      </w:r>
    </w:p>
    <w:p w14:paraId="6D123CBB" w14:textId="77777777" w:rsidR="00983C95" w:rsidRPr="00A547B4" w:rsidRDefault="00983C95" w:rsidP="00983C95">
      <w:pPr>
        <w:spacing w:after="240" w:line="240" w:lineRule="auto"/>
        <w:ind w:left="284"/>
        <w:jc w:val="both"/>
        <w:rPr>
          <w:rFonts w:ascii="Söhne" w:eastAsia="Times New Roman" w:hAnsi="Söhne" w:cs="Times New Roman"/>
          <w:sz w:val="18"/>
          <w:lang w:val="en-IE"/>
        </w:rPr>
      </w:pPr>
      <w:r w:rsidRPr="00A547B4">
        <w:rPr>
          <w:rFonts w:ascii="Söhne" w:eastAsia="Times New Roman" w:hAnsi="Söhne" w:cs="Times New Roman"/>
          <w:sz w:val="18"/>
          <w:lang w:val="en-IE"/>
        </w:rPr>
        <w:lastRenderedPageBreak/>
        <w:t>IHHNV infects tissues of ectodermal and mesodermal origin. The principal target tissues for IHHNV include connective tissue cells, the gills, haematopoietic nodules and haemocytes, ventral nerve cord and ganglia, antennal gland tubule epithelial cells, and lymphoid organ parenchymal cells (Lightner, 1996; Lightner &amp; Redman, 1998). Hence, whole shrimp (e.g. larvae or postlarvae) or tissue samples containing the aforementioned target tissues are suitable for most tests using molecular methods.</w:t>
      </w:r>
    </w:p>
    <w:p w14:paraId="6FB0C6BF"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3.3.</w:t>
      </w:r>
      <w:r w:rsidRPr="00A547B4">
        <w:rPr>
          <w:rFonts w:ascii="Söhne Kräftig" w:eastAsia="MS Mincho" w:hAnsi="Söhne Kräftig" w:cs="Times New Roman"/>
          <w:sz w:val="21"/>
          <w:szCs w:val="20"/>
          <w:lang w:val="da-DK" w:eastAsia="da-DK"/>
        </w:rPr>
        <w:tab/>
        <w:t>Samples or tissues not suitable for pathogen detection</w:t>
      </w:r>
    </w:p>
    <w:p w14:paraId="6BC56E1E" w14:textId="77777777" w:rsidR="00983C95" w:rsidRPr="00A547B4" w:rsidRDefault="00983C95" w:rsidP="00983C95">
      <w:pPr>
        <w:spacing w:after="240" w:line="240" w:lineRule="auto"/>
        <w:ind w:left="284"/>
        <w:jc w:val="both"/>
        <w:rPr>
          <w:rFonts w:ascii="Söhne" w:eastAsia="Times New Roman" w:hAnsi="Söhne" w:cs="Arial"/>
          <w:sz w:val="18"/>
          <w:lang w:val="en-IE"/>
        </w:rPr>
      </w:pPr>
      <w:r w:rsidRPr="00A547B4">
        <w:rPr>
          <w:rFonts w:ascii="Söhne" w:eastAsia="Times New Roman" w:hAnsi="Söhne" w:cs="Times New Roman"/>
          <w:sz w:val="18"/>
          <w:lang w:val="en-IE"/>
        </w:rPr>
        <w:t xml:space="preserve">Enteric tissues (e.g. the hepatopancreas, the midgut or its caeca) are inappropriate samples for detection of IHHNV (Lightner, 1996; Lightner &amp; Redman, 1998). </w:t>
      </w:r>
      <w:r w:rsidRPr="00A547B4">
        <w:rPr>
          <w:rFonts w:ascii="Söhne" w:eastAsia="Times New Roman" w:hAnsi="Söhne" w:cs="Arial"/>
          <w:sz w:val="18"/>
          <w:lang w:val="en-IE"/>
        </w:rPr>
        <w:t>Shrimp eyes contain PCR inhibitors and their use should be avoided.</w:t>
      </w:r>
    </w:p>
    <w:p w14:paraId="101E61EC"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3.4.</w:t>
      </w:r>
      <w:r w:rsidRPr="00A547B4">
        <w:rPr>
          <w:rFonts w:ascii="Söhne Kräftig" w:eastAsia="MS Mincho" w:hAnsi="Söhne Kräftig" w:cs="Times New Roman"/>
          <w:sz w:val="21"/>
          <w:szCs w:val="20"/>
          <w:lang w:val="da-DK" w:eastAsia="da-DK"/>
        </w:rPr>
        <w:tab/>
        <w:t>Non-lethal sampling</w:t>
      </w:r>
    </w:p>
    <w:p w14:paraId="789F594C" w14:textId="77777777" w:rsidR="00983C95" w:rsidRPr="00A547B4" w:rsidRDefault="00983C95" w:rsidP="00983C95">
      <w:pPr>
        <w:spacing w:after="240" w:line="240" w:lineRule="auto"/>
        <w:ind w:left="284"/>
        <w:jc w:val="both"/>
        <w:rPr>
          <w:rFonts w:ascii="Söhne" w:eastAsia="Times New Roman" w:hAnsi="Söhne" w:cs="Times New Roman"/>
          <w:sz w:val="18"/>
          <w:lang w:val="en-IE"/>
        </w:rPr>
      </w:pPr>
      <w:r w:rsidRPr="00A547B4">
        <w:rPr>
          <w:rFonts w:ascii="Söhne" w:eastAsia="Times New Roman" w:hAnsi="Söhne" w:cs="Times New Roman"/>
          <w:sz w:val="18"/>
          <w:lang w:val="en-IE"/>
        </w:rPr>
        <w:t>Haemolymph or excised pleopods may be collected and used for testing</w:t>
      </w:r>
      <w:r w:rsidRPr="00A547B4">
        <w:rPr>
          <w:rFonts w:ascii="Yu Mincho" w:eastAsia="Yu Mincho" w:hAnsi="Yu Mincho" w:cs="Times New Roman" w:hint="eastAsia"/>
          <w:sz w:val="18"/>
          <w:lang w:val="en-IE" w:eastAsia="zh-CN"/>
        </w:rPr>
        <w:t xml:space="preserve"> </w:t>
      </w:r>
      <w:r w:rsidRPr="00A547B4">
        <w:rPr>
          <w:rFonts w:ascii="Söhne" w:eastAsia="Times New Roman" w:hAnsi="Söhne" w:cs="Times New Roman"/>
          <w:sz w:val="18"/>
          <w:lang w:val="en-IE"/>
        </w:rPr>
        <w:t>when non-lethal testing of valuable broodstock is necessary (Lightner, 1996; Lightner &amp; Redman, 1998).</w:t>
      </w:r>
    </w:p>
    <w:p w14:paraId="1431AC27" w14:textId="77777777" w:rsidR="00983C95" w:rsidRPr="00A547B4" w:rsidRDefault="00983C95" w:rsidP="00983C95">
      <w:pPr>
        <w:spacing w:after="240" w:line="240" w:lineRule="auto"/>
        <w:ind w:left="284"/>
        <w:jc w:val="both"/>
        <w:rPr>
          <w:rFonts w:ascii="Söhne" w:eastAsia="Times New Roman" w:hAnsi="Söhne" w:cs="Times New Roman"/>
          <w:sz w:val="18"/>
          <w:lang w:val="en-IE"/>
        </w:rPr>
      </w:pPr>
      <w:r w:rsidRPr="0085169D">
        <w:rPr>
          <w:rFonts w:ascii="Söhne" w:hAnsi="Söhne" w:cs="Segoe UI"/>
          <w:sz w:val="18"/>
          <w:szCs w:val="18"/>
          <w:highlight w:val="yellow"/>
          <w:u w:val="double"/>
        </w:rPr>
        <w:t>If non-lethal tissue sample types differ from recommended tissues (see Section 3.2.), or from the tissue samples used in validation studies, the effect on diagnostic performance should be considered.</w:t>
      </w:r>
    </w:p>
    <w:p w14:paraId="50A60B3D"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3.5.</w:t>
      </w:r>
      <w:r w:rsidRPr="00A547B4">
        <w:rPr>
          <w:rFonts w:ascii="Söhne Kräftig" w:eastAsia="MS Mincho" w:hAnsi="Söhne Kräftig" w:cs="Times New Roman"/>
          <w:sz w:val="21"/>
          <w:szCs w:val="20"/>
          <w:lang w:val="da-DK" w:eastAsia="da-DK"/>
        </w:rPr>
        <w:tab/>
        <w:t>Preservation of samples for submission</w:t>
      </w:r>
    </w:p>
    <w:p w14:paraId="0D0A1069" w14:textId="77777777" w:rsidR="00983C95" w:rsidRPr="00A547B4" w:rsidRDefault="00983C95" w:rsidP="00983C95">
      <w:pPr>
        <w:spacing w:after="240" w:line="240" w:lineRule="auto"/>
        <w:ind w:left="284"/>
        <w:jc w:val="both"/>
        <w:rPr>
          <w:rFonts w:ascii="Söhne" w:eastAsia="Times New Roman" w:hAnsi="Söhne" w:cs="Times New Roman"/>
          <w:sz w:val="18"/>
          <w:lang w:val="en-IE"/>
        </w:rPr>
      </w:pPr>
      <w:r w:rsidRPr="00A547B4">
        <w:rPr>
          <w:rFonts w:ascii="Söhne" w:eastAsia="Times New Roman" w:hAnsi="Söhne" w:cs="Times New Roman"/>
          <w:sz w:val="18"/>
          <w:lang w:val="en-IE"/>
        </w:rPr>
        <w:t>For routine histology or molecular assays, and guidance on preservation of samples for the intended test method see Chapter 2.2.0.</w:t>
      </w:r>
    </w:p>
    <w:p w14:paraId="5624392D"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3.5.1.</w:t>
      </w:r>
      <w:r w:rsidRPr="00A547B4">
        <w:rPr>
          <w:rFonts w:ascii="Söhne Kräftig" w:eastAsia="Times New Roman" w:hAnsi="Söhne Kräftig" w:cs="Times New Roman"/>
          <w:bCs/>
          <w:sz w:val="20"/>
          <w:lang w:val="en-GB" w:eastAsia="fr-FR"/>
        </w:rPr>
        <w:tab/>
        <w:t xml:space="preserve">Samples for </w:t>
      </w:r>
      <w:r w:rsidRPr="00A547B4">
        <w:rPr>
          <w:rFonts w:ascii="Söhne Kräftig" w:eastAsia="Times New Roman" w:hAnsi="Söhne Kräftig" w:cs="Times New Roman"/>
          <w:bCs/>
          <w:strike/>
          <w:sz w:val="20"/>
          <w:highlight w:val="yellow"/>
          <w:lang w:val="en-GB" w:eastAsia="fr-FR"/>
        </w:rPr>
        <w:t xml:space="preserve">pathogen isolation </w:t>
      </w:r>
      <w:r w:rsidRPr="00A547B4">
        <w:rPr>
          <w:rFonts w:ascii="Söhne Kräftig" w:eastAsia="Times New Roman" w:hAnsi="Söhne Kräftig" w:cs="Times New Roman"/>
          <w:bCs/>
          <w:sz w:val="20"/>
          <w:highlight w:val="yellow"/>
          <w:u w:val="double"/>
          <w:lang w:val="en-GB" w:eastAsia="fr-FR"/>
        </w:rPr>
        <w:t>bioassay</w:t>
      </w:r>
      <w:r w:rsidRPr="00A547B4">
        <w:rPr>
          <w:rFonts w:ascii="Söhne Kräftig" w:eastAsia="Times New Roman" w:hAnsi="Söhne Kräftig" w:cs="Times New Roman"/>
          <w:bCs/>
          <w:sz w:val="20"/>
          <w:lang w:val="en-GB" w:eastAsia="fr-FR"/>
        </w:rPr>
        <w:t xml:space="preserve"> </w:t>
      </w:r>
    </w:p>
    <w:p w14:paraId="46B2538E" w14:textId="77777777" w:rsidR="00983C95" w:rsidRPr="00A547B4" w:rsidRDefault="00983C95" w:rsidP="00983C95">
      <w:pPr>
        <w:spacing w:after="240" w:line="240" w:lineRule="auto"/>
        <w:ind w:left="851"/>
        <w:jc w:val="both"/>
        <w:rPr>
          <w:rFonts w:ascii="Söhne" w:eastAsia="Times New Roman" w:hAnsi="Söhne" w:cs="Times New Roman"/>
          <w:bCs/>
          <w:sz w:val="18"/>
          <w:lang w:val="en-IE" w:eastAsia="fr-FR"/>
        </w:rPr>
      </w:pPr>
      <w:r w:rsidRPr="00A547B4">
        <w:rPr>
          <w:rFonts w:ascii="Söhne" w:eastAsia="Times New Roman" w:hAnsi="Söhne" w:cs="Times New Roman"/>
          <w:bCs/>
          <w:sz w:val="18"/>
          <w:lang w:val="en-IE" w:eastAsia="fr-FR"/>
        </w:rPr>
        <w:t xml:space="preserve">The </w:t>
      </w:r>
      <w:r w:rsidRPr="00A547B4">
        <w:rPr>
          <w:rFonts w:ascii="Söhne" w:eastAsia="Times New Roman" w:hAnsi="Söhne" w:cs="Times New Roman"/>
          <w:bCs/>
          <w:strike/>
          <w:sz w:val="18"/>
          <w:highlight w:val="yellow"/>
          <w:lang w:val="en-IE" w:eastAsia="fr-FR"/>
        </w:rPr>
        <w:t>success of pathogen isolation and</w:t>
      </w:r>
      <w:r w:rsidRPr="00A547B4">
        <w:rPr>
          <w:rFonts w:ascii="Söhne" w:eastAsia="Times New Roman" w:hAnsi="Söhne" w:cs="Times New Roman"/>
          <w:bCs/>
          <w:strike/>
          <w:sz w:val="18"/>
          <w:lang w:val="en-IE" w:eastAsia="fr-FR"/>
        </w:rPr>
        <w:t xml:space="preserve"> </w:t>
      </w:r>
      <w:r w:rsidRPr="00A547B4">
        <w:rPr>
          <w:rFonts w:ascii="Söhne" w:eastAsia="Times New Roman" w:hAnsi="Söhne" w:cs="Times New Roman"/>
          <w:bCs/>
          <w:sz w:val="18"/>
          <w:lang w:val="en-IE" w:eastAsia="fr-FR"/>
        </w:rPr>
        <w:t>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423C511E"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3.5.2.</w:t>
      </w:r>
      <w:r w:rsidRPr="00A547B4">
        <w:rPr>
          <w:rFonts w:ascii="Söhne Kräftig" w:eastAsia="Times New Roman" w:hAnsi="Söhne Kräftig" w:cs="Times New Roman"/>
          <w:bCs/>
          <w:sz w:val="20"/>
          <w:lang w:val="en-GB" w:eastAsia="fr-FR"/>
        </w:rPr>
        <w:tab/>
        <w:t>Preservation of samples for molecular detection</w:t>
      </w:r>
    </w:p>
    <w:p w14:paraId="1F00C045"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bookmarkStart w:id="0" w:name="_Hlk123826073"/>
      <w:r w:rsidRPr="00A547B4">
        <w:rPr>
          <w:rFonts w:ascii="Söhne" w:eastAsia="Times New Roman" w:hAnsi="Söhne" w:cs="Times New Roman"/>
          <w:bCs/>
          <w:sz w:val="18"/>
          <w:lang w:val="en-IE"/>
        </w:rPr>
        <w:t xml:space="preserve">Standard sample collection, preservation and processing methods for </w:t>
      </w:r>
      <w:r w:rsidRPr="00A547B4">
        <w:rPr>
          <w:rFonts w:ascii="Söhne" w:eastAsia="Times New Roman" w:hAnsi="Söhne" w:cs="Times New Roman"/>
          <w:bCs/>
          <w:strike/>
          <w:sz w:val="18"/>
          <w:highlight w:val="yellow"/>
          <w:lang w:val="en-IE"/>
        </w:rPr>
        <w:t xml:space="preserve">histological </w:t>
      </w:r>
      <w:r w:rsidRPr="00A547B4">
        <w:rPr>
          <w:rFonts w:ascii="Söhne" w:eastAsia="Times New Roman" w:hAnsi="Söhne" w:cs="Times New Roman"/>
          <w:bCs/>
          <w:sz w:val="18"/>
          <w:highlight w:val="yellow"/>
          <w:u w:val="double"/>
          <w:lang w:val="en-IE"/>
        </w:rPr>
        <w:t>molecular</w:t>
      </w:r>
      <w:r w:rsidRPr="00A547B4">
        <w:rPr>
          <w:rFonts w:ascii="Söhne" w:eastAsia="Times New Roman" w:hAnsi="Söhne" w:cs="Times New Roman"/>
          <w:bCs/>
          <w:sz w:val="18"/>
          <w:lang w:val="en-IE"/>
        </w:rPr>
        <w:t xml:space="preserve"> techniques can be found in Section B.</w:t>
      </w:r>
      <w:r w:rsidRPr="00A547B4">
        <w:rPr>
          <w:rFonts w:ascii="Söhne" w:eastAsia="Times New Roman" w:hAnsi="Söhne" w:cs="Times New Roman"/>
          <w:bCs/>
          <w:strike/>
          <w:sz w:val="18"/>
          <w:highlight w:val="yellow"/>
          <w:lang w:val="en-IE"/>
        </w:rPr>
        <w:t xml:space="preserve">2.5 </w:t>
      </w:r>
      <w:r w:rsidRPr="00A547B4">
        <w:rPr>
          <w:rFonts w:ascii="Söhne" w:eastAsia="Times New Roman" w:hAnsi="Söhne" w:cs="Times New Roman"/>
          <w:bCs/>
          <w:sz w:val="18"/>
          <w:highlight w:val="yellow"/>
          <w:u w:val="double"/>
          <w:lang w:val="en-IE"/>
        </w:rPr>
        <w:t>5.5.</w:t>
      </w:r>
      <w:r w:rsidRPr="00A547B4">
        <w:rPr>
          <w:rFonts w:ascii="Söhne" w:eastAsia="Times New Roman" w:hAnsi="Söhne" w:cs="Times New Roman"/>
          <w:bCs/>
          <w:sz w:val="18"/>
          <w:lang w:val="en-IE"/>
        </w:rPr>
        <w:t xml:space="preserve"> of Chapter 2.2.0 </w:t>
      </w:r>
      <w:r w:rsidRPr="00A547B4">
        <w:rPr>
          <w:rFonts w:ascii="Söhne" w:eastAsia="Times New Roman" w:hAnsi="Söhne" w:cs="Times New Roman"/>
          <w:bCs/>
          <w:i/>
          <w:iCs/>
          <w:sz w:val="18"/>
          <w:lang w:val="en-IE"/>
        </w:rPr>
        <w:t>General information</w:t>
      </w:r>
      <w:r w:rsidRPr="00A547B4">
        <w:rPr>
          <w:rFonts w:ascii="Söhne" w:eastAsia="Times New Roman" w:hAnsi="Söhne" w:cs="Times New Roman"/>
          <w:bCs/>
          <w:sz w:val="18"/>
          <w:lang w:val="en-IE"/>
        </w:rPr>
        <w:t xml:space="preserve"> (diseases of crustaceans).</w:t>
      </w:r>
    </w:p>
    <w:bookmarkEnd w:id="0"/>
    <w:p w14:paraId="7ADCDEC5"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3.5.3.</w:t>
      </w:r>
      <w:r w:rsidRPr="00A547B4">
        <w:rPr>
          <w:rFonts w:ascii="Söhne Kräftig" w:eastAsia="Times New Roman" w:hAnsi="Söhne Kräftig" w:cs="Times New Roman"/>
          <w:bCs/>
          <w:sz w:val="20"/>
          <w:lang w:val="en-GB" w:eastAsia="fr-FR"/>
        </w:rPr>
        <w:tab/>
        <w:t xml:space="preserve">Samples for histopathology, immunohistochemistry or </w:t>
      </w:r>
      <w:r w:rsidRPr="00A547B4">
        <w:rPr>
          <w:rFonts w:ascii="Söhne Kräftig" w:eastAsia="Times New Roman" w:hAnsi="Söhne Kräftig" w:cs="Times New Roman"/>
          <w:bCs/>
          <w:i/>
          <w:sz w:val="20"/>
          <w:lang w:val="en-GB" w:eastAsia="fr-FR"/>
        </w:rPr>
        <w:t>in-situ</w:t>
      </w:r>
      <w:r w:rsidRPr="00A547B4">
        <w:rPr>
          <w:rFonts w:ascii="Söhne Kräftig" w:eastAsia="Times New Roman" w:hAnsi="Söhne Kräftig" w:cs="Times New Roman"/>
          <w:bCs/>
          <w:sz w:val="20"/>
          <w:lang w:val="en-GB" w:eastAsia="fr-FR"/>
        </w:rPr>
        <w:t xml:space="preserve"> hybridisation</w:t>
      </w:r>
    </w:p>
    <w:p w14:paraId="065B2541" w14:textId="77777777" w:rsidR="00983C95" w:rsidRPr="00A547B4" w:rsidRDefault="00983C95" w:rsidP="00983C95">
      <w:pPr>
        <w:spacing w:after="240" w:line="240" w:lineRule="auto"/>
        <w:ind w:left="851"/>
        <w:jc w:val="both"/>
        <w:rPr>
          <w:rFonts w:ascii="Söhne" w:eastAsia="Times New Roman" w:hAnsi="Söhne" w:cs="Times New Roman"/>
          <w:bCs/>
          <w:sz w:val="18"/>
          <w:lang w:val="en-IE"/>
        </w:rPr>
      </w:pPr>
      <w:r w:rsidRPr="00A547B4">
        <w:rPr>
          <w:rFonts w:ascii="Söhne" w:eastAsia="Times New Roman" w:hAnsi="Söhne" w:cs="Times New Roman"/>
          <w:bCs/>
          <w:sz w:val="18"/>
          <w:lang w:val="en-IE"/>
        </w:rPr>
        <w:t>Standard sample collection, preservation and processing methods for histological techniques can be found in Section B.</w:t>
      </w:r>
      <w:r w:rsidRPr="00A547B4">
        <w:rPr>
          <w:rFonts w:ascii="Söhne" w:eastAsia="Times New Roman" w:hAnsi="Söhne" w:cs="Times New Roman"/>
          <w:bCs/>
          <w:strike/>
          <w:sz w:val="18"/>
          <w:highlight w:val="yellow"/>
          <w:lang w:val="en-IE"/>
        </w:rPr>
        <w:t xml:space="preserve">2.2 </w:t>
      </w:r>
      <w:r w:rsidRPr="00A547B4">
        <w:rPr>
          <w:rFonts w:ascii="Söhne" w:eastAsia="Times New Roman" w:hAnsi="Söhne" w:cs="Times New Roman"/>
          <w:bCs/>
          <w:sz w:val="18"/>
          <w:highlight w:val="yellow"/>
          <w:u w:val="double"/>
          <w:lang w:val="en-IE"/>
        </w:rPr>
        <w:t>5.3</w:t>
      </w:r>
      <w:r w:rsidRPr="00A547B4">
        <w:rPr>
          <w:rFonts w:ascii="Söhne" w:eastAsia="Times New Roman" w:hAnsi="Söhne" w:cs="Times New Roman"/>
          <w:bCs/>
          <w:sz w:val="18"/>
          <w:lang w:val="en-IE"/>
        </w:rPr>
        <w:t xml:space="preserve"> of Chapter 2.2.0 </w:t>
      </w:r>
      <w:r w:rsidRPr="00A547B4">
        <w:rPr>
          <w:rFonts w:ascii="Söhne" w:eastAsia="Times New Roman" w:hAnsi="Söhne" w:cs="Times New Roman"/>
          <w:bCs/>
          <w:i/>
          <w:iCs/>
          <w:sz w:val="18"/>
          <w:lang w:val="en-IE"/>
        </w:rPr>
        <w:t>General information</w:t>
      </w:r>
      <w:r w:rsidRPr="00A547B4">
        <w:rPr>
          <w:rFonts w:ascii="Söhne" w:eastAsia="Times New Roman" w:hAnsi="Söhne" w:cs="Times New Roman"/>
          <w:bCs/>
          <w:sz w:val="18"/>
          <w:lang w:val="en-IE"/>
        </w:rPr>
        <w:t xml:space="preserve"> (diseases of crustaceans).</w:t>
      </w:r>
    </w:p>
    <w:p w14:paraId="71B0E17D" w14:textId="77777777" w:rsidR="00983C95" w:rsidRPr="00A547B4"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A547B4">
        <w:rPr>
          <w:rFonts w:ascii="Söhne Kräftig" w:eastAsia="Times New Roman" w:hAnsi="Söhne Kräftig" w:cs="Times New Roman"/>
          <w:bCs/>
          <w:sz w:val="20"/>
          <w:lang w:val="en-GB" w:eastAsia="fr-FR"/>
        </w:rPr>
        <w:t>3.5.4.</w:t>
      </w:r>
      <w:r w:rsidRPr="00A547B4">
        <w:rPr>
          <w:rFonts w:ascii="Söhne Kräftig" w:eastAsia="Times New Roman" w:hAnsi="Söhne Kräftig" w:cs="Times New Roman"/>
          <w:bCs/>
          <w:sz w:val="20"/>
          <w:lang w:val="en-GB" w:eastAsia="fr-FR"/>
        </w:rPr>
        <w:tab/>
        <w:t>Samples for other tests</w:t>
      </w:r>
    </w:p>
    <w:p w14:paraId="29C75F10" w14:textId="77777777" w:rsidR="00983C95" w:rsidRPr="00A547B4" w:rsidRDefault="00983C95" w:rsidP="00983C95">
      <w:pPr>
        <w:spacing w:after="240" w:line="240" w:lineRule="auto"/>
        <w:ind w:left="851"/>
        <w:jc w:val="both"/>
        <w:rPr>
          <w:rFonts w:ascii="Söhne" w:eastAsia="Times New Roman" w:hAnsi="Söhne" w:cs="Times New Roman"/>
          <w:bCs/>
          <w:sz w:val="18"/>
          <w:highlight w:val="yellow"/>
          <w:u w:val="double"/>
          <w:lang w:val="en-IE"/>
        </w:rPr>
      </w:pPr>
      <w:r w:rsidRPr="00A547B4">
        <w:rPr>
          <w:rFonts w:ascii="Söhne" w:eastAsia="Times New Roman" w:hAnsi="Söhne" w:cs="Times New Roman" w:hint="eastAsia"/>
          <w:bCs/>
          <w:sz w:val="18"/>
          <w:lang w:val="en-IE"/>
        </w:rPr>
        <w:t>N</w:t>
      </w:r>
      <w:r w:rsidRPr="00A547B4">
        <w:rPr>
          <w:rFonts w:ascii="Söhne" w:eastAsia="Times New Roman" w:hAnsi="Söhne" w:cs="Times New Roman"/>
          <w:bCs/>
          <w:sz w:val="18"/>
          <w:lang w:val="en-IE"/>
        </w:rPr>
        <w:t>ot relevant.</w:t>
      </w:r>
    </w:p>
    <w:p w14:paraId="6096BCF5" w14:textId="77777777" w:rsidR="00983C95" w:rsidRPr="00A547B4"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A547B4">
        <w:rPr>
          <w:rFonts w:ascii="Söhne Kräftig" w:eastAsia="MS Mincho" w:hAnsi="Söhne Kräftig" w:cs="Times New Roman"/>
          <w:sz w:val="21"/>
          <w:szCs w:val="20"/>
          <w:lang w:val="da-DK" w:eastAsia="da-DK"/>
        </w:rPr>
        <w:t>3.6.</w:t>
      </w:r>
      <w:r w:rsidRPr="00A547B4">
        <w:rPr>
          <w:rFonts w:ascii="Söhne Kräftig" w:eastAsia="MS Mincho" w:hAnsi="Söhne Kräftig" w:cs="Times New Roman"/>
          <w:sz w:val="21"/>
          <w:szCs w:val="20"/>
          <w:lang w:val="da-DK" w:eastAsia="da-DK"/>
        </w:rPr>
        <w:tab/>
        <w:t>Pooling of samples</w:t>
      </w:r>
    </w:p>
    <w:p w14:paraId="11DBDC2C" w14:textId="77777777" w:rsidR="00983C95" w:rsidRPr="00A547B4" w:rsidRDefault="00983C95" w:rsidP="00983C95">
      <w:pPr>
        <w:spacing w:after="240" w:line="240" w:lineRule="auto"/>
        <w:ind w:left="284"/>
        <w:jc w:val="both"/>
        <w:rPr>
          <w:rFonts w:ascii="Söhne" w:eastAsia="Times New Roman" w:hAnsi="Söhne" w:cs="Times New Roman"/>
          <w:sz w:val="18"/>
          <w:lang w:val="en-IE"/>
        </w:rPr>
      </w:pPr>
      <w:r w:rsidRPr="00A547B4">
        <w:rPr>
          <w:rFonts w:ascii="Söhne" w:eastAsia="Times New Roman" w:hAnsi="Söhne"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A547B4">
        <w:rPr>
          <w:rFonts w:ascii="Söhne" w:eastAsia="Times New Roman" w:hAnsi="Söhne" w:cs="Times New Roman"/>
          <w:sz w:val="18"/>
          <w:bdr w:val="nil"/>
          <w:lang w:val="en-IE"/>
        </w:rPr>
        <w:t xml:space="preserve">Small life stages such as PL can be pooled to obtain the minimum amount of material for </w:t>
      </w:r>
      <w:r w:rsidRPr="00A547B4">
        <w:rPr>
          <w:rFonts w:ascii="Söhne" w:eastAsia="Times New Roman" w:hAnsi="Söhne" w:cs="Times New Roman"/>
          <w:strike/>
          <w:sz w:val="18"/>
          <w:bdr w:val="nil"/>
          <w:lang w:val="en-IE"/>
        </w:rPr>
        <w:t xml:space="preserve">virus isolation or </w:t>
      </w:r>
      <w:r w:rsidRPr="00A547B4">
        <w:rPr>
          <w:rFonts w:ascii="Söhne" w:eastAsia="Times New Roman" w:hAnsi="Söhne" w:cs="Times New Roman"/>
          <w:sz w:val="18"/>
          <w:bdr w:val="nil"/>
          <w:lang w:val="en-IE"/>
        </w:rPr>
        <w:t>molecular detection</w:t>
      </w:r>
      <w:r w:rsidRPr="00A547B4">
        <w:rPr>
          <w:rFonts w:ascii="Söhne" w:eastAsia="Times New Roman" w:hAnsi="Söhne" w:cs="Times New Roman"/>
          <w:sz w:val="18"/>
          <w:bdr w:val="nil"/>
          <w:lang w:val="en-IE" w:eastAsia="fr-FR"/>
        </w:rPr>
        <w:t>.</w:t>
      </w:r>
      <w:r w:rsidRPr="00A547B4">
        <w:rPr>
          <w:rFonts w:ascii="Söhne" w:eastAsia="Times New Roman" w:hAnsi="Söhne" w:cs="Times New Roman"/>
          <w:sz w:val="18"/>
          <w:lang w:val="en-IE"/>
        </w:rPr>
        <w:t xml:space="preserve"> </w:t>
      </w:r>
    </w:p>
    <w:p w14:paraId="3A9A3D4E" w14:textId="77777777" w:rsidR="00983C95" w:rsidRPr="00A547B4" w:rsidRDefault="00983C95" w:rsidP="00983C95">
      <w:pPr>
        <w:widowControl w:val="0"/>
        <w:spacing w:after="240" w:line="240" w:lineRule="auto"/>
        <w:ind w:left="284" w:right="-6" w:hanging="284"/>
        <w:jc w:val="both"/>
        <w:rPr>
          <w:rFonts w:ascii="Söhne Kräftig" w:eastAsia="Arial" w:hAnsi="Söhne Kräftig" w:cs="Arial"/>
          <w:szCs w:val="18"/>
          <w:lang w:val="en-US" w:bidi="en-US"/>
        </w:rPr>
      </w:pPr>
      <w:r w:rsidRPr="00A547B4">
        <w:rPr>
          <w:rFonts w:ascii="Söhne Kräftig" w:eastAsia="Arial" w:hAnsi="Söhne Kräftig" w:cs="Arial"/>
          <w:szCs w:val="18"/>
          <w:lang w:val="en-US" w:bidi="en-US"/>
        </w:rPr>
        <w:t>4.</w:t>
      </w:r>
      <w:r w:rsidRPr="00A547B4">
        <w:rPr>
          <w:rFonts w:ascii="Söhne Kräftig" w:eastAsia="Arial" w:hAnsi="Söhne Kräftig" w:cs="Arial"/>
          <w:szCs w:val="18"/>
          <w:lang w:val="en-US" w:bidi="en-US"/>
        </w:rPr>
        <w:tab/>
        <w:t>Diagnostic methods</w:t>
      </w:r>
    </w:p>
    <w:p w14:paraId="4A2EB174" w14:textId="77777777" w:rsidR="00983C95" w:rsidRPr="00A547B4" w:rsidRDefault="00983C95" w:rsidP="00983C95">
      <w:pPr>
        <w:spacing w:after="240" w:line="240" w:lineRule="auto"/>
        <w:jc w:val="both"/>
        <w:rPr>
          <w:rFonts w:ascii="Söhne" w:eastAsia="MS Mincho" w:hAnsi="Söhne" w:cs="Times New Roman"/>
          <w:sz w:val="18"/>
          <w:u w:color="000000"/>
          <w:bdr w:val="nil"/>
          <w:lang w:val="en-IE" w:eastAsia="ja-JP" w:bidi="en-US"/>
        </w:rPr>
      </w:pPr>
      <w:r w:rsidRPr="00A547B4">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C5A79FE" w14:textId="77777777" w:rsidR="00983C95" w:rsidRPr="00A547B4" w:rsidRDefault="00983C95" w:rsidP="00983C95">
      <w:pPr>
        <w:spacing w:after="240" w:line="240" w:lineRule="auto"/>
        <w:jc w:val="both"/>
        <w:rPr>
          <w:rFonts w:ascii="Söhne" w:eastAsia="Times New Roman" w:hAnsi="Söhne" w:cs="Arial"/>
          <w:sz w:val="18"/>
          <w:szCs w:val="18"/>
          <w:lang w:val="en-IE" w:bidi="en-US"/>
        </w:rPr>
      </w:pPr>
      <w:r w:rsidRPr="00A547B4">
        <w:rPr>
          <w:rFonts w:ascii="Söhne" w:eastAsia="Times New Roman" w:hAnsi="Söhne" w:cs="Arial"/>
          <w:b/>
          <w:bCs/>
          <w:sz w:val="18"/>
          <w:szCs w:val="18"/>
          <w:lang w:val="en-IE" w:bidi="en-US"/>
        </w:rPr>
        <w:lastRenderedPageBreak/>
        <w:t>Ratings for purposes of use.</w:t>
      </w:r>
      <w:r w:rsidRPr="00A547B4">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3606F0B9" w14:textId="77777777" w:rsidR="00983C95" w:rsidRPr="00A547B4" w:rsidRDefault="00983C95" w:rsidP="00983C95">
      <w:pPr>
        <w:pBdr>
          <w:top w:val="nil"/>
          <w:left w:val="nil"/>
          <w:bottom w:val="nil"/>
          <w:right w:val="nil"/>
          <w:between w:val="nil"/>
          <w:bar w:val="nil"/>
        </w:pBdr>
        <w:ind w:left="1701" w:hanging="1701"/>
        <w:rPr>
          <w:rFonts w:ascii="Söhne" w:eastAsia="Arial" w:hAnsi="Söhne" w:cs="Arial"/>
          <w:color w:val="000000"/>
          <w:sz w:val="18"/>
          <w:szCs w:val="18"/>
          <w:u w:color="000000"/>
          <w:bdr w:val="nil"/>
        </w:rPr>
      </w:pPr>
      <w:r w:rsidRPr="00A547B4">
        <w:rPr>
          <w:rFonts w:ascii="Söhne" w:eastAsia="Calibri" w:hAnsi="Söhne" w:cs="Calibri"/>
          <w:color w:val="000000"/>
          <w:sz w:val="18"/>
          <w:szCs w:val="18"/>
          <w:u w:color="000000"/>
          <w:bdr w:val="nil"/>
        </w:rPr>
        <w:t>+++ =</w:t>
      </w:r>
      <w:r w:rsidRPr="00A547B4">
        <w:rPr>
          <w:rFonts w:ascii="Söhne" w:eastAsia="Calibri" w:hAnsi="Söhne" w:cs="Calibri"/>
          <w:color w:val="000000"/>
          <w:sz w:val="18"/>
          <w:szCs w:val="18"/>
          <w:u w:color="000000"/>
          <w:bdr w:val="nil"/>
        </w:rPr>
        <w:tab/>
      </w:r>
      <w:r w:rsidRPr="00A547B4">
        <w:rPr>
          <w:rFonts w:ascii="Söhne" w:eastAsia="Calibri" w:hAnsi="Söhne" w:cs="Arial"/>
          <w:sz w:val="18"/>
          <w:szCs w:val="18"/>
        </w:rPr>
        <w:t xml:space="preserve">Methods </w:t>
      </w:r>
      <w:r w:rsidRPr="00A547B4">
        <w:rPr>
          <w:rFonts w:ascii="Söhne" w:eastAsia="Arial" w:hAnsi="Söhne" w:cs="Arial"/>
          <w:color w:val="000000"/>
          <w:sz w:val="18"/>
          <w:szCs w:val="18"/>
          <w:u w:color="000000"/>
          <w:bdr w:val="nil"/>
        </w:rPr>
        <w:t xml:space="preserve">are most suitable with </w:t>
      </w:r>
      <w:r w:rsidRPr="00A547B4">
        <w:rPr>
          <w:rFonts w:ascii="Söhne" w:eastAsia="Calibri" w:hAnsi="Söhne" w:cs="Arial"/>
          <w:sz w:val="18"/>
          <w:szCs w:val="18"/>
        </w:rPr>
        <w:t>desirable performance and operational characteristics</w:t>
      </w:r>
      <w:r w:rsidRPr="00A547B4">
        <w:rPr>
          <w:rFonts w:ascii="Söhne" w:eastAsia="Calibri" w:hAnsi="Söhne" w:cs="Calibri"/>
          <w:color w:val="000000"/>
          <w:sz w:val="18"/>
          <w:szCs w:val="18"/>
          <w:u w:color="000000"/>
          <w:bdr w:val="nil"/>
        </w:rPr>
        <w:t>.</w:t>
      </w:r>
    </w:p>
    <w:p w14:paraId="434DAEF7" w14:textId="77777777" w:rsidR="00983C95" w:rsidRPr="00A547B4" w:rsidRDefault="00983C95" w:rsidP="00983C95">
      <w:pPr>
        <w:pBdr>
          <w:top w:val="nil"/>
          <w:left w:val="nil"/>
          <w:bottom w:val="nil"/>
          <w:right w:val="nil"/>
          <w:between w:val="nil"/>
          <w:bar w:val="nil"/>
        </w:pBdr>
        <w:ind w:left="1701" w:hanging="1701"/>
        <w:rPr>
          <w:rFonts w:ascii="Söhne" w:eastAsia="Arial" w:hAnsi="Söhne" w:cs="Arial"/>
          <w:color w:val="000000"/>
          <w:sz w:val="18"/>
          <w:szCs w:val="18"/>
          <w:u w:color="000000"/>
          <w:bdr w:val="nil"/>
        </w:rPr>
      </w:pPr>
      <w:r w:rsidRPr="00A547B4">
        <w:rPr>
          <w:rFonts w:ascii="Söhne" w:eastAsia="Calibri" w:hAnsi="Söhne" w:cs="Calibri"/>
          <w:color w:val="000000"/>
          <w:sz w:val="18"/>
          <w:szCs w:val="18"/>
          <w:u w:color="000000"/>
          <w:bdr w:val="nil"/>
        </w:rPr>
        <w:t xml:space="preserve">++ = </w:t>
      </w:r>
      <w:r w:rsidRPr="00A547B4">
        <w:rPr>
          <w:rFonts w:ascii="Söhne" w:eastAsia="Calibri" w:hAnsi="Söhne" w:cs="Calibri"/>
          <w:color w:val="000000"/>
          <w:sz w:val="18"/>
          <w:szCs w:val="18"/>
          <w:u w:color="000000"/>
          <w:bdr w:val="nil"/>
        </w:rPr>
        <w:tab/>
        <w:t>Methods</w:t>
      </w:r>
      <w:r w:rsidRPr="00A547B4">
        <w:rPr>
          <w:rFonts w:ascii="Söhne" w:eastAsia="Calibri" w:hAnsi="Söhne" w:cs="Calibri"/>
          <w:color w:val="000000"/>
          <w:sz w:val="18"/>
          <w:szCs w:val="18"/>
          <w:bdr w:val="nil"/>
        </w:rPr>
        <w:t xml:space="preserve"> </w:t>
      </w:r>
      <w:r w:rsidRPr="00A547B4">
        <w:rPr>
          <w:rFonts w:ascii="Söhne" w:eastAsia="Arial" w:hAnsi="Söhne" w:cs="Arial"/>
          <w:color w:val="000000"/>
          <w:sz w:val="18"/>
          <w:szCs w:val="18"/>
          <w:u w:color="000000"/>
          <w:bdr w:val="nil"/>
        </w:rPr>
        <w:t xml:space="preserve">are suitable with </w:t>
      </w:r>
      <w:r w:rsidRPr="00A547B4">
        <w:rPr>
          <w:rFonts w:ascii="Söhne" w:eastAsia="Calibri" w:hAnsi="Söhne" w:cs="Arial"/>
          <w:sz w:val="18"/>
          <w:szCs w:val="18"/>
        </w:rPr>
        <w:t>acceptable performance and operational characteristics under most circumstances</w:t>
      </w:r>
      <w:r w:rsidRPr="00A547B4">
        <w:rPr>
          <w:rFonts w:ascii="Söhne" w:eastAsia="Calibri" w:hAnsi="Söhne" w:cs="Calibri"/>
          <w:color w:val="000000"/>
          <w:sz w:val="18"/>
          <w:szCs w:val="18"/>
          <w:u w:color="000000"/>
          <w:bdr w:val="nil"/>
        </w:rPr>
        <w:t xml:space="preserve">. </w:t>
      </w:r>
    </w:p>
    <w:p w14:paraId="163E17B2" w14:textId="77777777" w:rsidR="00983C95" w:rsidRPr="00A547B4" w:rsidRDefault="00983C95" w:rsidP="00983C95">
      <w:pPr>
        <w:pBdr>
          <w:top w:val="nil"/>
          <w:left w:val="nil"/>
          <w:bottom w:val="nil"/>
          <w:right w:val="nil"/>
          <w:between w:val="nil"/>
          <w:bar w:val="nil"/>
        </w:pBdr>
        <w:ind w:left="1701" w:hanging="1701"/>
        <w:rPr>
          <w:rFonts w:ascii="Söhne" w:eastAsia="Arial" w:hAnsi="Söhne" w:cs="Arial"/>
          <w:color w:val="000000"/>
          <w:sz w:val="18"/>
          <w:szCs w:val="18"/>
          <w:u w:color="000000"/>
          <w:bdr w:val="nil"/>
        </w:rPr>
      </w:pPr>
      <w:r w:rsidRPr="00A547B4">
        <w:rPr>
          <w:rFonts w:ascii="Söhne" w:eastAsia="Calibri" w:hAnsi="Söhne" w:cs="Calibri"/>
          <w:color w:val="000000"/>
          <w:sz w:val="18"/>
          <w:szCs w:val="18"/>
          <w:u w:color="000000"/>
          <w:bdr w:val="nil"/>
        </w:rPr>
        <w:t xml:space="preserve">+ = </w:t>
      </w:r>
      <w:r w:rsidRPr="00A547B4">
        <w:rPr>
          <w:rFonts w:ascii="Söhne" w:eastAsia="Calibri" w:hAnsi="Söhne" w:cs="Calibri"/>
          <w:color w:val="000000"/>
          <w:sz w:val="18"/>
          <w:szCs w:val="18"/>
          <w:u w:color="000000"/>
          <w:bdr w:val="nil"/>
        </w:rPr>
        <w:tab/>
      </w:r>
      <w:r w:rsidRPr="00A547B4">
        <w:rPr>
          <w:rFonts w:ascii="Söhne" w:eastAsia="Calibri" w:hAnsi="Söhne" w:cs="Arial"/>
          <w:sz w:val="18"/>
          <w:szCs w:val="18"/>
        </w:rPr>
        <w:t xml:space="preserve">Methods </w:t>
      </w:r>
      <w:r w:rsidRPr="00A547B4">
        <w:rPr>
          <w:rFonts w:ascii="Söhne" w:eastAsia="Arial" w:hAnsi="Söhne" w:cs="Arial"/>
          <w:color w:val="000000"/>
          <w:sz w:val="18"/>
          <w:szCs w:val="18"/>
          <w:u w:color="000000"/>
          <w:bdr w:val="nil"/>
        </w:rPr>
        <w:t>are suitable, but</w:t>
      </w:r>
      <w:r w:rsidRPr="00A547B4">
        <w:rPr>
          <w:rFonts w:ascii="Söhne" w:eastAsia="Calibri" w:hAnsi="Söhne" w:cs="Arial"/>
          <w:sz w:val="18"/>
          <w:szCs w:val="18"/>
        </w:rPr>
        <w:t xml:space="preserve"> performance or operational characteristics may limit application under some circumstances</w:t>
      </w:r>
      <w:r w:rsidRPr="00A547B4">
        <w:rPr>
          <w:rFonts w:ascii="Söhne" w:eastAsia="Arial" w:hAnsi="Söhne" w:cs="Arial"/>
          <w:color w:val="000000"/>
          <w:sz w:val="18"/>
          <w:szCs w:val="18"/>
          <w:u w:color="000000"/>
          <w:bdr w:val="nil"/>
        </w:rPr>
        <w:t xml:space="preserve">. </w:t>
      </w:r>
    </w:p>
    <w:p w14:paraId="671FB299" w14:textId="77777777" w:rsidR="00983C95" w:rsidRPr="00A547B4" w:rsidRDefault="00983C95" w:rsidP="00983C95">
      <w:pPr>
        <w:pBdr>
          <w:top w:val="nil"/>
          <w:left w:val="nil"/>
          <w:bottom w:val="nil"/>
          <w:right w:val="nil"/>
          <w:between w:val="nil"/>
          <w:bar w:val="nil"/>
        </w:pBdr>
        <w:spacing w:after="240"/>
        <w:ind w:left="1701" w:hanging="1701"/>
        <w:rPr>
          <w:rFonts w:ascii="Söhne" w:eastAsia="Calibri" w:hAnsi="Söhne" w:cs="Calibri"/>
          <w:color w:val="000000"/>
          <w:sz w:val="18"/>
          <w:szCs w:val="18"/>
          <w:u w:color="000000"/>
          <w:bdr w:val="nil"/>
        </w:rPr>
      </w:pPr>
      <w:r w:rsidRPr="00A547B4">
        <w:rPr>
          <w:rFonts w:ascii="Söhne" w:eastAsia="Calibri" w:hAnsi="Söhne" w:cs="Calibri"/>
          <w:color w:val="000000"/>
          <w:sz w:val="18"/>
          <w:szCs w:val="18"/>
          <w:u w:color="000000"/>
          <w:bdr w:val="nil"/>
        </w:rPr>
        <w:t xml:space="preserve">Shaded boxes = </w:t>
      </w:r>
      <w:r w:rsidRPr="00A547B4">
        <w:rPr>
          <w:rFonts w:ascii="Söhne" w:eastAsia="Calibri" w:hAnsi="Söhne" w:cs="Calibri"/>
          <w:color w:val="000000"/>
          <w:sz w:val="18"/>
          <w:szCs w:val="18"/>
          <w:u w:color="000000"/>
          <w:bdr w:val="nil"/>
        </w:rPr>
        <w:tab/>
        <w:t>Not appropriate for this purpose.</w:t>
      </w:r>
    </w:p>
    <w:p w14:paraId="4613747E" w14:textId="77777777" w:rsidR="00983C95" w:rsidRPr="00A547B4" w:rsidRDefault="00983C95" w:rsidP="00983C95">
      <w:pPr>
        <w:spacing w:after="240" w:line="240" w:lineRule="auto"/>
        <w:jc w:val="both"/>
        <w:rPr>
          <w:rFonts w:ascii="Söhne" w:eastAsia="Times New Roman" w:hAnsi="Söhne" w:cs="Times New Roman"/>
          <w:sz w:val="18"/>
          <w:lang w:val="en-IE" w:bidi="en-US"/>
        </w:rPr>
      </w:pPr>
      <w:r w:rsidRPr="00A547B4">
        <w:rPr>
          <w:rFonts w:ascii="Söhne" w:eastAsia="Times New Roman" w:hAnsi="Söhne" w:cs="Times New Roman"/>
          <w:b/>
          <w:bCs/>
          <w:sz w:val="18"/>
          <w:lang w:val="en-IE" w:bidi="en-US"/>
        </w:rPr>
        <w:t>Validation stage</w:t>
      </w:r>
      <w:r w:rsidRPr="00A547B4">
        <w:rPr>
          <w:rFonts w:ascii="Söhne" w:eastAsia="Times New Roman" w:hAnsi="Söhne" w:cs="Times New Roman"/>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368E89A" w14:textId="77777777" w:rsidR="00983C95" w:rsidRPr="00A547B4" w:rsidRDefault="00983C95" w:rsidP="00983C95">
      <w:pPr>
        <w:spacing w:after="240" w:line="240" w:lineRule="auto"/>
        <w:jc w:val="both"/>
        <w:rPr>
          <w:rFonts w:ascii="Söhne" w:eastAsia="Times New Roman" w:hAnsi="Söhne" w:cs="Times New Roman"/>
          <w:sz w:val="18"/>
          <w:lang w:val="en-IE" w:bidi="en-US"/>
        </w:rPr>
      </w:pPr>
      <w:r w:rsidRPr="00A547B4">
        <w:rPr>
          <w:rFonts w:ascii="Söhne" w:eastAsia="Times New Roman" w:hAnsi="Söhne" w:cs="Times New Roman"/>
          <w:sz w:val="18"/>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0E51FAB1" w14:textId="6332EB53" w:rsidR="00983C95" w:rsidRDefault="00983C95"/>
    <w:p w14:paraId="337AC2C5" w14:textId="078EBD76" w:rsidR="00983C95" w:rsidRDefault="00983C95"/>
    <w:p w14:paraId="0A070CB2" w14:textId="4B7EBE50" w:rsidR="00983C95" w:rsidRDefault="00983C95"/>
    <w:p w14:paraId="5857DF00" w14:textId="3E12D7F8" w:rsidR="00983C95" w:rsidRDefault="00983C95"/>
    <w:p w14:paraId="73F41E2E" w14:textId="7736C9C9" w:rsidR="00983C95" w:rsidRDefault="00983C95"/>
    <w:p w14:paraId="0BE826A0" w14:textId="641E6C50" w:rsidR="00983C95" w:rsidRDefault="00983C95"/>
    <w:p w14:paraId="7E2E2EFF" w14:textId="4CCDE918" w:rsidR="00983C95" w:rsidRDefault="00983C95"/>
    <w:p w14:paraId="12740C52" w14:textId="09096E06" w:rsidR="00983C95" w:rsidRDefault="00983C95"/>
    <w:p w14:paraId="49CE938D" w14:textId="14FF6AFB" w:rsidR="00983C95" w:rsidRDefault="00983C95"/>
    <w:p w14:paraId="25B7E219" w14:textId="1A69946E" w:rsidR="00983C95" w:rsidRDefault="00983C95"/>
    <w:p w14:paraId="5F6FEE0A" w14:textId="640BEAAB" w:rsidR="00983C95" w:rsidRDefault="00983C95"/>
    <w:p w14:paraId="383697AF" w14:textId="2165EE31" w:rsidR="00983C95" w:rsidRDefault="00983C95"/>
    <w:p w14:paraId="5E6F8A91" w14:textId="7823C26D" w:rsidR="00983C95" w:rsidRDefault="00983C95"/>
    <w:p w14:paraId="0EE6C311" w14:textId="45D61334" w:rsidR="00983C95" w:rsidRDefault="00983C95"/>
    <w:p w14:paraId="40AB9C4A" w14:textId="12979A07" w:rsidR="00983C95" w:rsidRDefault="00983C95"/>
    <w:p w14:paraId="5CFCBB88" w14:textId="66B34B10" w:rsidR="00983C95" w:rsidRDefault="00983C95"/>
    <w:p w14:paraId="57F13229" w14:textId="77777777" w:rsidR="00983C95" w:rsidRPr="00983C95" w:rsidRDefault="00983C95" w:rsidP="00983C95">
      <w:pPr>
        <w:spacing w:after="120" w:line="240" w:lineRule="auto"/>
        <w:jc w:val="center"/>
        <w:rPr>
          <w:rFonts w:ascii="Söhne Kräftig" w:eastAsia="Times New Roman" w:hAnsi="Söhne Kräftig" w:cs="Times New Roman"/>
          <w:i/>
          <w:sz w:val="18"/>
          <w:lang w:val="en-IE" w:bidi="en-US"/>
        </w:rPr>
      </w:pPr>
      <w:bookmarkStart w:id="1" w:name="_Hlk123826269"/>
      <w:r w:rsidRPr="00983C95">
        <w:rPr>
          <w:rFonts w:ascii="Söhne Kräftig" w:eastAsia="Times New Roman" w:hAnsi="Söhne Kräftig" w:cs="Times New Roman"/>
          <w:b/>
          <w:bCs/>
          <w:i/>
          <w:sz w:val="18"/>
          <w:lang w:val="en-IE" w:bidi="en-US"/>
        </w:rPr>
        <w:t>Table 4.</w:t>
      </w:r>
      <w:r w:rsidRPr="00983C95">
        <w:rPr>
          <w:rFonts w:ascii="Söhne Kräftig" w:eastAsia="Times New Roman" w:hAnsi="Söhne Kräftig" w:cs="Times New Roman"/>
          <w:b/>
          <w:bCs/>
          <w:i/>
          <w:noProof/>
          <w:sz w:val="18"/>
          <w:lang w:val="en-IE" w:bidi="en-US"/>
        </w:rPr>
        <w:t>1</w:t>
      </w:r>
      <w:r w:rsidRPr="00983C95">
        <w:rPr>
          <w:rFonts w:ascii="Söhne Kräftig" w:eastAsia="Times New Roman" w:hAnsi="Söhne Kräftig" w:cs="Times New Roman"/>
          <w:b/>
          <w:bCs/>
          <w:i/>
          <w:sz w:val="18"/>
          <w:lang w:val="en-IE" w:bidi="en-US"/>
        </w:rPr>
        <w:t>.</w:t>
      </w:r>
      <w:r w:rsidRPr="00983C95">
        <w:rPr>
          <w:rFonts w:ascii="Söhne Kräftig" w:eastAsia="Times New Roman" w:hAnsi="Söhne Kräftig" w:cs="Times New Roman"/>
          <w:i/>
          <w:sz w:val="18"/>
          <w:lang w:val="en-IE" w:bidi="en-US"/>
        </w:rPr>
        <w:t xml:space="preserve"> WOAH recommended diagnostic methods and their level of validation for surveillance of apparently healthy animals and investigation of clinically affected animals</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70"/>
        <w:gridCol w:w="848"/>
        <w:gridCol w:w="992"/>
        <w:gridCol w:w="850"/>
        <w:gridCol w:w="634"/>
        <w:gridCol w:w="960"/>
        <w:gridCol w:w="1100"/>
        <w:gridCol w:w="992"/>
        <w:gridCol w:w="709"/>
      </w:tblGrid>
      <w:tr w:rsidR="00983C95" w:rsidRPr="00983C95" w14:paraId="1EF6FC56" w14:textId="77777777" w:rsidTr="005E584A">
        <w:trPr>
          <w:trHeight w:val="402"/>
          <w:tblHeader/>
          <w:jc w:val="center"/>
        </w:trPr>
        <w:tc>
          <w:tcPr>
            <w:tcW w:w="2399" w:type="dxa"/>
            <w:vMerge w:val="restart"/>
            <w:vAlign w:val="center"/>
          </w:tcPr>
          <w:p w14:paraId="5B1E3CAA"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Method</w:t>
            </w:r>
          </w:p>
        </w:tc>
        <w:tc>
          <w:tcPr>
            <w:tcW w:w="3408" w:type="dxa"/>
            <w:gridSpan w:val="4"/>
          </w:tcPr>
          <w:p w14:paraId="320A2392" w14:textId="77777777" w:rsidR="00983C95" w:rsidRPr="00983C95" w:rsidRDefault="00983C95" w:rsidP="00983C95">
            <w:pPr>
              <w:numPr>
                <w:ilvl w:val="0"/>
                <w:numId w:val="74"/>
              </w:numPr>
              <w:spacing w:before="120" w:after="120" w:line="240" w:lineRule="auto"/>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Surveillance of apparently healthy animals</w:t>
            </w:r>
          </w:p>
        </w:tc>
        <w:tc>
          <w:tcPr>
            <w:tcW w:w="3324" w:type="dxa"/>
            <w:gridSpan w:val="4"/>
          </w:tcPr>
          <w:p w14:paraId="4A035B66" w14:textId="77777777" w:rsidR="00983C95" w:rsidRPr="00983C95" w:rsidRDefault="00983C95" w:rsidP="00983C95">
            <w:pPr>
              <w:numPr>
                <w:ilvl w:val="0"/>
                <w:numId w:val="74"/>
              </w:numPr>
              <w:spacing w:before="120" w:after="120" w:line="240" w:lineRule="auto"/>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Presumptive diagnosis of clinically affected animals</w:t>
            </w:r>
          </w:p>
        </w:tc>
        <w:tc>
          <w:tcPr>
            <w:tcW w:w="3761" w:type="dxa"/>
            <w:gridSpan w:val="4"/>
          </w:tcPr>
          <w:p w14:paraId="7DD63D34" w14:textId="77777777" w:rsidR="00983C95" w:rsidRPr="00983C95" w:rsidRDefault="00983C95" w:rsidP="00983C95">
            <w:pPr>
              <w:numPr>
                <w:ilvl w:val="0"/>
                <w:numId w:val="74"/>
              </w:num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Confirmatory diagnosis</w:t>
            </w:r>
            <w:r w:rsidRPr="00983C95">
              <w:rPr>
                <w:rFonts w:ascii="Söhne Kräftig" w:eastAsia="Times New Roman" w:hAnsi="Söhne Kräftig" w:cs="Arial"/>
                <w:sz w:val="16"/>
                <w:szCs w:val="16"/>
                <w:vertAlign w:val="superscript"/>
                <w:lang w:val="en-IE" w:bidi="en-US"/>
              </w:rPr>
              <w:t>1</w:t>
            </w:r>
            <w:r w:rsidRPr="00983C95">
              <w:rPr>
                <w:rFonts w:ascii="Söhne Kräftig" w:eastAsia="Times New Roman" w:hAnsi="Söhne Kräftig" w:cs="Arial"/>
                <w:sz w:val="16"/>
                <w:szCs w:val="16"/>
                <w:lang w:val="en-IE" w:bidi="en-US"/>
              </w:rPr>
              <w:t xml:space="preserve"> of a suspect result </w:t>
            </w:r>
            <w:r w:rsidRPr="00983C95">
              <w:rPr>
                <w:rFonts w:ascii="Söhne Kräftig" w:eastAsia="Times New Roman" w:hAnsi="Söhne Kräftig" w:cs="Times New Roman"/>
                <w:sz w:val="16"/>
                <w:szCs w:val="16"/>
                <w:lang w:val="en-IE" w:bidi="en-US"/>
              </w:rPr>
              <w:t>from surveillance or presumptive diagnosis</w:t>
            </w:r>
          </w:p>
        </w:tc>
      </w:tr>
      <w:tr w:rsidR="00983C95" w:rsidRPr="00983C95" w14:paraId="40DFD105" w14:textId="77777777" w:rsidTr="005E584A">
        <w:trPr>
          <w:trHeight w:val="402"/>
          <w:tblHeader/>
          <w:jc w:val="center"/>
        </w:trPr>
        <w:tc>
          <w:tcPr>
            <w:tcW w:w="2399" w:type="dxa"/>
            <w:vMerge/>
            <w:vAlign w:val="center"/>
          </w:tcPr>
          <w:p w14:paraId="043B403E"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701C4B8F"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Early life stages</w:t>
            </w:r>
            <w:r w:rsidRPr="00983C95">
              <w:rPr>
                <w:rFonts w:ascii="Söhne Kräftig" w:eastAsia="Times New Roman" w:hAnsi="Söhne Kräftig" w:cs="Arial"/>
                <w:sz w:val="16"/>
                <w:szCs w:val="16"/>
                <w:vertAlign w:val="superscript"/>
                <w:lang w:val="en-IE" w:bidi="en-US"/>
              </w:rPr>
              <w:t>2</w:t>
            </w:r>
          </w:p>
        </w:tc>
        <w:tc>
          <w:tcPr>
            <w:tcW w:w="1134" w:type="dxa"/>
            <w:vAlign w:val="center"/>
          </w:tcPr>
          <w:p w14:paraId="088BA044"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Juveniles</w:t>
            </w:r>
            <w:r w:rsidRPr="00983C95">
              <w:rPr>
                <w:rFonts w:ascii="Söhne Kräftig" w:eastAsia="Times New Roman" w:hAnsi="Söhne Kräftig" w:cs="Arial"/>
                <w:sz w:val="16"/>
                <w:szCs w:val="16"/>
                <w:vertAlign w:val="superscript"/>
                <w:lang w:val="en-IE" w:bidi="en-US"/>
              </w:rPr>
              <w:t>2</w:t>
            </w:r>
          </w:p>
        </w:tc>
        <w:tc>
          <w:tcPr>
            <w:tcW w:w="709" w:type="dxa"/>
            <w:vAlign w:val="center"/>
          </w:tcPr>
          <w:p w14:paraId="6F901928"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Adults</w:t>
            </w:r>
          </w:p>
        </w:tc>
        <w:tc>
          <w:tcPr>
            <w:tcW w:w="570" w:type="dxa"/>
            <w:vAlign w:val="center"/>
          </w:tcPr>
          <w:p w14:paraId="0622062D"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LV</w:t>
            </w:r>
          </w:p>
        </w:tc>
        <w:tc>
          <w:tcPr>
            <w:tcW w:w="848" w:type="dxa"/>
            <w:vAlign w:val="center"/>
          </w:tcPr>
          <w:p w14:paraId="62539C86"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US" w:bidi="en-US"/>
              </w:rPr>
              <w:t>Early life stages</w:t>
            </w:r>
            <w:r w:rsidRPr="00983C95">
              <w:rPr>
                <w:rFonts w:ascii="Söhne Kräftig" w:eastAsia="Times New Roman" w:hAnsi="Söhne Kräftig" w:cs="Arial"/>
                <w:sz w:val="16"/>
                <w:szCs w:val="16"/>
                <w:vertAlign w:val="superscript"/>
                <w:lang w:val="en-US" w:bidi="en-US"/>
              </w:rPr>
              <w:t>2</w:t>
            </w:r>
          </w:p>
        </w:tc>
        <w:tc>
          <w:tcPr>
            <w:tcW w:w="992" w:type="dxa"/>
            <w:vAlign w:val="center"/>
          </w:tcPr>
          <w:p w14:paraId="3CA8B904"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Juveniles</w:t>
            </w:r>
            <w:r w:rsidRPr="00983C95">
              <w:rPr>
                <w:rFonts w:ascii="Söhne Kräftig" w:eastAsia="Times New Roman" w:hAnsi="Söhne Kräftig" w:cs="Arial"/>
                <w:sz w:val="16"/>
                <w:szCs w:val="16"/>
                <w:vertAlign w:val="superscript"/>
                <w:lang w:val="en-US" w:bidi="en-US"/>
              </w:rPr>
              <w:t>2</w:t>
            </w:r>
          </w:p>
        </w:tc>
        <w:tc>
          <w:tcPr>
            <w:tcW w:w="850" w:type="dxa"/>
            <w:vAlign w:val="center"/>
          </w:tcPr>
          <w:p w14:paraId="2FCE9D5B"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Adults</w:t>
            </w:r>
          </w:p>
        </w:tc>
        <w:tc>
          <w:tcPr>
            <w:tcW w:w="634" w:type="dxa"/>
            <w:vAlign w:val="center"/>
          </w:tcPr>
          <w:p w14:paraId="247769CD"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LV</w:t>
            </w:r>
          </w:p>
        </w:tc>
        <w:tc>
          <w:tcPr>
            <w:tcW w:w="960" w:type="dxa"/>
            <w:vAlign w:val="center"/>
          </w:tcPr>
          <w:p w14:paraId="1422AABA"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US" w:bidi="en-US"/>
              </w:rPr>
              <w:t>Early life stages</w:t>
            </w:r>
            <w:r w:rsidRPr="00983C95">
              <w:rPr>
                <w:rFonts w:ascii="Söhne Kräftig" w:eastAsia="Times New Roman" w:hAnsi="Söhne Kräftig" w:cs="Arial"/>
                <w:sz w:val="16"/>
                <w:szCs w:val="16"/>
                <w:vertAlign w:val="superscript"/>
                <w:lang w:val="en-US" w:bidi="en-US"/>
              </w:rPr>
              <w:t>2</w:t>
            </w:r>
          </w:p>
        </w:tc>
        <w:tc>
          <w:tcPr>
            <w:tcW w:w="1100" w:type="dxa"/>
            <w:vAlign w:val="center"/>
          </w:tcPr>
          <w:p w14:paraId="10FC5F77"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Juveniles</w:t>
            </w:r>
            <w:r w:rsidRPr="00983C95">
              <w:rPr>
                <w:rFonts w:ascii="Söhne Kräftig" w:eastAsia="Times New Roman" w:hAnsi="Söhne Kräftig" w:cs="Arial"/>
                <w:sz w:val="16"/>
                <w:szCs w:val="16"/>
                <w:vertAlign w:val="superscript"/>
                <w:lang w:val="en-US" w:bidi="en-US"/>
              </w:rPr>
              <w:t>2</w:t>
            </w:r>
          </w:p>
        </w:tc>
        <w:tc>
          <w:tcPr>
            <w:tcW w:w="992" w:type="dxa"/>
            <w:vAlign w:val="center"/>
          </w:tcPr>
          <w:p w14:paraId="3CE70D0E"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Adults</w:t>
            </w:r>
          </w:p>
        </w:tc>
        <w:tc>
          <w:tcPr>
            <w:tcW w:w="709" w:type="dxa"/>
            <w:vAlign w:val="center"/>
          </w:tcPr>
          <w:p w14:paraId="06ECAE1A" w14:textId="77777777" w:rsidR="00983C95" w:rsidRPr="00983C95" w:rsidRDefault="00983C95" w:rsidP="00983C95">
            <w:pPr>
              <w:spacing w:before="120" w:after="12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LV</w:t>
            </w:r>
          </w:p>
        </w:tc>
      </w:tr>
      <w:tr w:rsidR="00983C95" w:rsidRPr="00983C95" w14:paraId="283CE681" w14:textId="77777777" w:rsidTr="005E584A">
        <w:trPr>
          <w:trHeight w:val="227"/>
          <w:jc w:val="center"/>
        </w:trPr>
        <w:tc>
          <w:tcPr>
            <w:tcW w:w="2399" w:type="dxa"/>
            <w:vAlign w:val="center"/>
          </w:tcPr>
          <w:p w14:paraId="656281C8"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Wet mounts</w:t>
            </w:r>
          </w:p>
        </w:tc>
        <w:tc>
          <w:tcPr>
            <w:tcW w:w="995" w:type="dxa"/>
            <w:shd w:val="clear" w:color="auto" w:fill="D9D9D9"/>
            <w:vAlign w:val="center"/>
          </w:tcPr>
          <w:p w14:paraId="0F19D51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D116BE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5064BFB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441B26F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tcBorders>
              <w:bottom w:val="single" w:sz="4" w:space="0" w:color="auto"/>
            </w:tcBorders>
            <w:shd w:val="clear" w:color="auto" w:fill="D9D9D9"/>
            <w:vAlign w:val="center"/>
          </w:tcPr>
          <w:p w14:paraId="60B1E17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tcBorders>
              <w:bottom w:val="single" w:sz="4" w:space="0" w:color="auto"/>
            </w:tcBorders>
            <w:shd w:val="clear" w:color="auto" w:fill="D9D9D9"/>
            <w:vAlign w:val="center"/>
          </w:tcPr>
          <w:p w14:paraId="23244E8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tcBorders>
              <w:bottom w:val="single" w:sz="4" w:space="0" w:color="auto"/>
            </w:tcBorders>
            <w:shd w:val="clear" w:color="auto" w:fill="D9D9D9"/>
            <w:vAlign w:val="center"/>
          </w:tcPr>
          <w:p w14:paraId="42E4796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tcBorders>
              <w:bottom w:val="single" w:sz="4" w:space="0" w:color="auto"/>
            </w:tcBorders>
            <w:shd w:val="clear" w:color="auto" w:fill="D9D9D9"/>
            <w:vAlign w:val="center"/>
          </w:tcPr>
          <w:p w14:paraId="5211B29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tcBorders>
              <w:bottom w:val="single" w:sz="4" w:space="0" w:color="auto"/>
            </w:tcBorders>
            <w:shd w:val="clear" w:color="auto" w:fill="D9D9D9"/>
            <w:vAlign w:val="center"/>
          </w:tcPr>
          <w:p w14:paraId="0BFD2CB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tcBorders>
              <w:bottom w:val="single" w:sz="4" w:space="0" w:color="auto"/>
            </w:tcBorders>
            <w:shd w:val="clear" w:color="auto" w:fill="D9D9D9"/>
            <w:vAlign w:val="center"/>
          </w:tcPr>
          <w:p w14:paraId="0AA9248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tcBorders>
              <w:bottom w:val="single" w:sz="4" w:space="0" w:color="auto"/>
            </w:tcBorders>
            <w:shd w:val="clear" w:color="auto" w:fill="D9D9D9"/>
            <w:vAlign w:val="center"/>
          </w:tcPr>
          <w:p w14:paraId="15EA08E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tcBorders>
              <w:bottom w:val="single" w:sz="4" w:space="0" w:color="auto"/>
            </w:tcBorders>
            <w:shd w:val="clear" w:color="auto" w:fill="D9D9D9"/>
            <w:vAlign w:val="center"/>
          </w:tcPr>
          <w:p w14:paraId="4E6588C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r w:rsidR="00983C95" w:rsidRPr="00983C95" w14:paraId="6B9B15E6" w14:textId="77777777" w:rsidTr="005E584A">
        <w:trPr>
          <w:trHeight w:val="324"/>
          <w:jc w:val="center"/>
        </w:trPr>
        <w:tc>
          <w:tcPr>
            <w:tcW w:w="2399" w:type="dxa"/>
            <w:vAlign w:val="center"/>
          </w:tcPr>
          <w:p w14:paraId="43639CC8"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Histopathology</w:t>
            </w:r>
          </w:p>
        </w:tc>
        <w:tc>
          <w:tcPr>
            <w:tcW w:w="995" w:type="dxa"/>
            <w:tcBorders>
              <w:bottom w:val="single" w:sz="4" w:space="0" w:color="auto"/>
            </w:tcBorders>
            <w:shd w:val="clear" w:color="auto" w:fill="D9D9D9"/>
            <w:vAlign w:val="center"/>
          </w:tcPr>
          <w:p w14:paraId="5F828E2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tcBorders>
              <w:bottom w:val="single" w:sz="4" w:space="0" w:color="auto"/>
            </w:tcBorders>
            <w:shd w:val="clear" w:color="auto" w:fill="D9D9D9"/>
            <w:vAlign w:val="center"/>
          </w:tcPr>
          <w:p w14:paraId="2E9464C8"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tcBorders>
              <w:bottom w:val="single" w:sz="4" w:space="0" w:color="auto"/>
            </w:tcBorders>
            <w:shd w:val="clear" w:color="auto" w:fill="D9D9D9"/>
            <w:vAlign w:val="center"/>
          </w:tcPr>
          <w:p w14:paraId="0DEB14B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tcBorders>
              <w:bottom w:val="single" w:sz="4" w:space="0" w:color="auto"/>
            </w:tcBorders>
            <w:shd w:val="clear" w:color="auto" w:fill="D9D9D9"/>
            <w:vAlign w:val="center"/>
          </w:tcPr>
          <w:p w14:paraId="0E87667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tcBorders>
              <w:bottom w:val="single" w:sz="4" w:space="0" w:color="auto"/>
            </w:tcBorders>
            <w:shd w:val="clear" w:color="auto" w:fill="D9D9D9"/>
            <w:vAlign w:val="center"/>
          </w:tcPr>
          <w:p w14:paraId="7B72818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tcBorders>
              <w:bottom w:val="single" w:sz="4" w:space="0" w:color="auto"/>
            </w:tcBorders>
            <w:shd w:val="clear" w:color="auto" w:fill="auto"/>
          </w:tcPr>
          <w:p w14:paraId="72DEF40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850" w:type="dxa"/>
            <w:tcBorders>
              <w:bottom w:val="single" w:sz="4" w:space="0" w:color="auto"/>
            </w:tcBorders>
            <w:shd w:val="clear" w:color="auto" w:fill="auto"/>
          </w:tcPr>
          <w:p w14:paraId="6E44730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634" w:type="dxa"/>
            <w:tcBorders>
              <w:bottom w:val="single" w:sz="4" w:space="0" w:color="auto"/>
            </w:tcBorders>
            <w:shd w:val="clear" w:color="auto" w:fill="auto"/>
            <w:vAlign w:val="center"/>
          </w:tcPr>
          <w:p w14:paraId="52FCCBB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NA</w:t>
            </w:r>
          </w:p>
        </w:tc>
        <w:tc>
          <w:tcPr>
            <w:tcW w:w="960" w:type="dxa"/>
            <w:tcBorders>
              <w:bottom w:val="single" w:sz="4" w:space="0" w:color="auto"/>
            </w:tcBorders>
            <w:shd w:val="clear" w:color="auto" w:fill="D9D9D9"/>
          </w:tcPr>
          <w:p w14:paraId="471F5FE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tcBorders>
              <w:bottom w:val="single" w:sz="4" w:space="0" w:color="auto"/>
            </w:tcBorders>
            <w:shd w:val="clear" w:color="auto" w:fill="D9D9D9"/>
          </w:tcPr>
          <w:p w14:paraId="19AE0A04"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r w:rsidRPr="00983C95">
              <w:rPr>
                <w:rFonts w:ascii="Söhne" w:eastAsia="Times New Roman" w:hAnsi="Söhne" w:cs="Arial"/>
                <w:strike/>
                <w:sz w:val="16"/>
                <w:szCs w:val="16"/>
                <w:lang w:val="en-IE" w:bidi="en-US"/>
              </w:rPr>
              <w:t>++</w:t>
            </w:r>
          </w:p>
        </w:tc>
        <w:tc>
          <w:tcPr>
            <w:tcW w:w="992" w:type="dxa"/>
            <w:tcBorders>
              <w:bottom w:val="single" w:sz="4" w:space="0" w:color="auto"/>
            </w:tcBorders>
            <w:shd w:val="clear" w:color="auto" w:fill="D9D9D9"/>
          </w:tcPr>
          <w:p w14:paraId="44C2F5AC"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r w:rsidRPr="00983C95">
              <w:rPr>
                <w:rFonts w:ascii="Söhne" w:eastAsia="Times New Roman" w:hAnsi="Söhne" w:cs="Arial"/>
                <w:strike/>
                <w:sz w:val="16"/>
                <w:szCs w:val="16"/>
                <w:lang w:val="en-IE" w:bidi="en-US"/>
              </w:rPr>
              <w:t>++</w:t>
            </w:r>
          </w:p>
        </w:tc>
        <w:tc>
          <w:tcPr>
            <w:tcW w:w="709" w:type="dxa"/>
            <w:tcBorders>
              <w:bottom w:val="single" w:sz="4" w:space="0" w:color="auto"/>
            </w:tcBorders>
            <w:shd w:val="clear" w:color="auto" w:fill="D9D9D9"/>
            <w:vAlign w:val="center"/>
          </w:tcPr>
          <w:p w14:paraId="0657A67F" w14:textId="77777777" w:rsidR="00983C95" w:rsidRPr="00983C95" w:rsidRDefault="00983C95" w:rsidP="00983C95">
            <w:pPr>
              <w:spacing w:before="80" w:after="80" w:line="240" w:lineRule="auto"/>
              <w:jc w:val="center"/>
              <w:rPr>
                <w:rFonts w:ascii="Söhne" w:eastAsia="Yu Mincho" w:hAnsi="Söhne" w:cs="Arial"/>
                <w:strike/>
                <w:sz w:val="16"/>
                <w:szCs w:val="16"/>
                <w:lang w:val="en-IE" w:eastAsia="zh-CN" w:bidi="en-US"/>
              </w:rPr>
            </w:pPr>
            <w:r w:rsidRPr="00983C95">
              <w:rPr>
                <w:rFonts w:ascii="Söhne" w:eastAsia="Calibri" w:hAnsi="Söhne" w:cs="Times New Roman"/>
                <w:strike/>
                <w:sz w:val="16"/>
                <w:szCs w:val="16"/>
                <w:lang w:val="en-US"/>
              </w:rPr>
              <w:t>NA</w:t>
            </w:r>
          </w:p>
        </w:tc>
      </w:tr>
      <w:tr w:rsidR="00983C95" w:rsidRPr="00983C95" w14:paraId="42ACC810" w14:textId="77777777" w:rsidTr="005E584A">
        <w:trPr>
          <w:trHeight w:val="402"/>
          <w:jc w:val="center"/>
        </w:trPr>
        <w:tc>
          <w:tcPr>
            <w:tcW w:w="2399" w:type="dxa"/>
            <w:vAlign w:val="center"/>
          </w:tcPr>
          <w:p w14:paraId="37A40880"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Cell culture</w:t>
            </w:r>
          </w:p>
        </w:tc>
        <w:tc>
          <w:tcPr>
            <w:tcW w:w="995" w:type="dxa"/>
            <w:shd w:val="clear" w:color="auto" w:fill="D9D9D9"/>
          </w:tcPr>
          <w:p w14:paraId="2AE6D85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tcPr>
          <w:p w14:paraId="750734A9"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tcPr>
          <w:p w14:paraId="307C1F2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24C4A47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tcPr>
          <w:p w14:paraId="26E7308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cPr>
          <w:p w14:paraId="0E3D216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tcPr>
          <w:p w14:paraId="5A364F84"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70956D84"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tcPr>
          <w:p w14:paraId="2F9756B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tcPr>
          <w:p w14:paraId="5BE77F2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tcPr>
          <w:p w14:paraId="5B06DE7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191D53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r w:rsidR="00983C95" w:rsidRPr="00983C95" w14:paraId="783861E5" w14:textId="77777777" w:rsidTr="005E584A">
        <w:trPr>
          <w:trHeight w:val="402"/>
          <w:jc w:val="center"/>
        </w:trPr>
        <w:tc>
          <w:tcPr>
            <w:tcW w:w="2399" w:type="dxa"/>
            <w:vAlign w:val="center"/>
          </w:tcPr>
          <w:p w14:paraId="7983F30A"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Real-time PCR</w:t>
            </w:r>
          </w:p>
        </w:tc>
        <w:tc>
          <w:tcPr>
            <w:tcW w:w="995" w:type="dxa"/>
            <w:shd w:val="clear" w:color="auto" w:fill="D9D9D9"/>
            <w:vAlign w:val="center"/>
          </w:tcPr>
          <w:p w14:paraId="560FAFAE"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r w:rsidRPr="00983C95">
              <w:rPr>
                <w:rFonts w:ascii="Söhne" w:eastAsia="Yu Mincho" w:hAnsi="Söhne" w:cs="Arial"/>
                <w:strike/>
                <w:sz w:val="16"/>
                <w:szCs w:val="16"/>
                <w:lang w:val="en-IE" w:eastAsia="zh-CN" w:bidi="en-US"/>
              </w:rPr>
              <w:t>++</w:t>
            </w:r>
          </w:p>
        </w:tc>
        <w:tc>
          <w:tcPr>
            <w:tcW w:w="1134" w:type="dxa"/>
            <w:vAlign w:val="center"/>
          </w:tcPr>
          <w:p w14:paraId="32D3998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709" w:type="dxa"/>
            <w:vAlign w:val="center"/>
          </w:tcPr>
          <w:p w14:paraId="7AB5986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570" w:type="dxa"/>
            <w:vAlign w:val="center"/>
          </w:tcPr>
          <w:p w14:paraId="23A552E9"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c>
          <w:tcPr>
            <w:tcW w:w="848" w:type="dxa"/>
            <w:vAlign w:val="center"/>
          </w:tcPr>
          <w:p w14:paraId="186A68D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992" w:type="dxa"/>
            <w:vAlign w:val="center"/>
          </w:tcPr>
          <w:p w14:paraId="4545FDA4"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850" w:type="dxa"/>
            <w:vAlign w:val="center"/>
          </w:tcPr>
          <w:p w14:paraId="2920531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634" w:type="dxa"/>
            <w:tcBorders>
              <w:bottom w:val="single" w:sz="4" w:space="0" w:color="auto"/>
            </w:tcBorders>
            <w:vAlign w:val="center"/>
          </w:tcPr>
          <w:p w14:paraId="58219E3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c>
          <w:tcPr>
            <w:tcW w:w="960" w:type="dxa"/>
            <w:tcBorders>
              <w:bottom w:val="single" w:sz="4" w:space="0" w:color="auto"/>
            </w:tcBorders>
            <w:vAlign w:val="center"/>
          </w:tcPr>
          <w:p w14:paraId="1CC032B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1100" w:type="dxa"/>
            <w:tcBorders>
              <w:bottom w:val="single" w:sz="4" w:space="0" w:color="auto"/>
            </w:tcBorders>
            <w:vAlign w:val="center"/>
          </w:tcPr>
          <w:p w14:paraId="1465BAC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992" w:type="dxa"/>
            <w:tcBorders>
              <w:bottom w:val="single" w:sz="4" w:space="0" w:color="auto"/>
            </w:tcBorders>
            <w:vAlign w:val="center"/>
          </w:tcPr>
          <w:p w14:paraId="1DBAE4D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709" w:type="dxa"/>
            <w:tcBorders>
              <w:bottom w:val="single" w:sz="4" w:space="0" w:color="auto"/>
            </w:tcBorders>
            <w:vAlign w:val="center"/>
          </w:tcPr>
          <w:p w14:paraId="25E90A2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r>
      <w:tr w:rsidR="00983C95" w:rsidRPr="00983C95" w14:paraId="2975141B" w14:textId="77777777" w:rsidTr="005E584A">
        <w:trPr>
          <w:trHeight w:val="402"/>
          <w:jc w:val="center"/>
        </w:trPr>
        <w:tc>
          <w:tcPr>
            <w:tcW w:w="2399" w:type="dxa"/>
            <w:vAlign w:val="center"/>
          </w:tcPr>
          <w:p w14:paraId="26109092"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Conventional PCR</w:t>
            </w:r>
          </w:p>
        </w:tc>
        <w:tc>
          <w:tcPr>
            <w:tcW w:w="995" w:type="dxa"/>
            <w:shd w:val="clear" w:color="auto" w:fill="D9D9D9"/>
            <w:vAlign w:val="center"/>
          </w:tcPr>
          <w:p w14:paraId="6486E69C"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r w:rsidRPr="00983C95">
              <w:rPr>
                <w:rFonts w:ascii="Söhne" w:eastAsia="Yu Mincho" w:hAnsi="Söhne" w:cs="Arial"/>
                <w:strike/>
                <w:sz w:val="16"/>
                <w:szCs w:val="16"/>
                <w:lang w:val="en-IE" w:eastAsia="zh-CN" w:bidi="en-US"/>
              </w:rPr>
              <w:t>+</w:t>
            </w:r>
          </w:p>
        </w:tc>
        <w:tc>
          <w:tcPr>
            <w:tcW w:w="1134" w:type="dxa"/>
            <w:vAlign w:val="center"/>
          </w:tcPr>
          <w:p w14:paraId="2649EA0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709" w:type="dxa"/>
            <w:vAlign w:val="center"/>
          </w:tcPr>
          <w:p w14:paraId="7CA3017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570" w:type="dxa"/>
            <w:vAlign w:val="center"/>
          </w:tcPr>
          <w:p w14:paraId="147B97D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c>
          <w:tcPr>
            <w:tcW w:w="848" w:type="dxa"/>
            <w:vAlign w:val="center"/>
          </w:tcPr>
          <w:p w14:paraId="647D88C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992" w:type="dxa"/>
            <w:vAlign w:val="center"/>
          </w:tcPr>
          <w:p w14:paraId="3EF5C49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850" w:type="dxa"/>
            <w:vAlign w:val="center"/>
          </w:tcPr>
          <w:p w14:paraId="75839D7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634" w:type="dxa"/>
            <w:vAlign w:val="center"/>
          </w:tcPr>
          <w:p w14:paraId="553C9214" w14:textId="77777777" w:rsidR="00983C95" w:rsidRPr="00983C95" w:rsidRDefault="00983C95" w:rsidP="00983C95">
            <w:pPr>
              <w:spacing w:before="80" w:after="80" w:line="240" w:lineRule="auto"/>
              <w:jc w:val="center"/>
              <w:rPr>
                <w:rFonts w:ascii="Söhne" w:eastAsia="Yu Mincho" w:hAnsi="Söhne" w:cs="Arial"/>
                <w:sz w:val="16"/>
                <w:szCs w:val="16"/>
                <w:lang w:val="en-IE" w:eastAsia="zh-CN" w:bidi="en-US"/>
              </w:rPr>
            </w:pPr>
            <w:r w:rsidRPr="00983C95">
              <w:rPr>
                <w:rFonts w:ascii="Söhne" w:eastAsia="Yu Mincho" w:hAnsi="Söhne" w:cs="Arial"/>
                <w:sz w:val="16"/>
                <w:szCs w:val="16"/>
                <w:lang w:val="en-IE" w:eastAsia="zh-CN" w:bidi="en-US"/>
              </w:rPr>
              <w:t>1</w:t>
            </w:r>
          </w:p>
        </w:tc>
        <w:tc>
          <w:tcPr>
            <w:tcW w:w="960" w:type="dxa"/>
            <w:shd w:val="clear" w:color="auto" w:fill="D9D9D9"/>
            <w:vAlign w:val="center"/>
          </w:tcPr>
          <w:p w14:paraId="0FBCFDC8" w14:textId="77777777" w:rsidR="00983C95" w:rsidRPr="00983C95" w:rsidRDefault="00983C95" w:rsidP="00983C95">
            <w:pPr>
              <w:spacing w:before="80" w:after="80" w:line="240" w:lineRule="auto"/>
              <w:jc w:val="center"/>
              <w:rPr>
                <w:rFonts w:ascii="Söhne" w:eastAsia="Yu Mincho" w:hAnsi="Söhne" w:cs="Arial"/>
                <w:strike/>
                <w:sz w:val="16"/>
                <w:szCs w:val="16"/>
                <w:lang w:val="en-IE" w:eastAsia="zh-CN" w:bidi="en-US"/>
              </w:rPr>
            </w:pPr>
            <w:r w:rsidRPr="00983C95">
              <w:rPr>
                <w:rFonts w:ascii="Söhne" w:eastAsia="Yu Mincho" w:hAnsi="Söhne" w:cs="Arial"/>
                <w:strike/>
                <w:sz w:val="16"/>
                <w:szCs w:val="16"/>
                <w:lang w:val="en-IE" w:eastAsia="zh-CN" w:bidi="en-US"/>
              </w:rPr>
              <w:t>++</w:t>
            </w:r>
          </w:p>
        </w:tc>
        <w:tc>
          <w:tcPr>
            <w:tcW w:w="1100" w:type="dxa"/>
            <w:shd w:val="clear" w:color="auto" w:fill="D9D9D9"/>
            <w:vAlign w:val="center"/>
          </w:tcPr>
          <w:p w14:paraId="6060A670" w14:textId="77777777" w:rsidR="00983C95" w:rsidRPr="00983C95" w:rsidRDefault="00983C95" w:rsidP="00983C95">
            <w:pPr>
              <w:spacing w:before="80" w:after="80" w:line="240" w:lineRule="auto"/>
              <w:jc w:val="center"/>
              <w:rPr>
                <w:rFonts w:ascii="Söhne" w:eastAsia="Yu Mincho" w:hAnsi="Söhne" w:cs="Arial"/>
                <w:strike/>
                <w:sz w:val="16"/>
                <w:szCs w:val="16"/>
                <w:lang w:val="en-IE" w:eastAsia="zh-CN" w:bidi="en-US"/>
              </w:rPr>
            </w:pPr>
            <w:r w:rsidRPr="00983C95">
              <w:rPr>
                <w:rFonts w:ascii="Söhne" w:eastAsia="Yu Mincho" w:hAnsi="Söhne" w:cs="Arial"/>
                <w:strike/>
                <w:sz w:val="16"/>
                <w:szCs w:val="16"/>
                <w:lang w:val="en-IE" w:eastAsia="zh-CN" w:bidi="en-US"/>
              </w:rPr>
              <w:t>++</w:t>
            </w:r>
          </w:p>
        </w:tc>
        <w:tc>
          <w:tcPr>
            <w:tcW w:w="992" w:type="dxa"/>
            <w:shd w:val="clear" w:color="auto" w:fill="D9D9D9"/>
            <w:vAlign w:val="center"/>
          </w:tcPr>
          <w:p w14:paraId="76DE0D25" w14:textId="77777777" w:rsidR="00983C95" w:rsidRPr="00983C95" w:rsidRDefault="00983C95" w:rsidP="00983C95">
            <w:pPr>
              <w:spacing w:before="80" w:after="80" w:line="240" w:lineRule="auto"/>
              <w:jc w:val="center"/>
              <w:rPr>
                <w:rFonts w:ascii="Söhne" w:eastAsia="Yu Mincho" w:hAnsi="Söhne" w:cs="Arial"/>
                <w:strike/>
                <w:sz w:val="16"/>
                <w:szCs w:val="16"/>
                <w:lang w:val="en-IE" w:eastAsia="zh-CN" w:bidi="en-US"/>
              </w:rPr>
            </w:pPr>
            <w:r w:rsidRPr="00983C95">
              <w:rPr>
                <w:rFonts w:ascii="Söhne" w:eastAsia="Yu Mincho" w:hAnsi="Söhne" w:cs="Arial"/>
                <w:strike/>
                <w:sz w:val="16"/>
                <w:szCs w:val="16"/>
                <w:lang w:val="en-IE" w:eastAsia="zh-CN" w:bidi="en-US"/>
              </w:rPr>
              <w:t>++</w:t>
            </w:r>
          </w:p>
        </w:tc>
        <w:tc>
          <w:tcPr>
            <w:tcW w:w="709" w:type="dxa"/>
            <w:shd w:val="clear" w:color="auto" w:fill="D9D9D9"/>
            <w:vAlign w:val="center"/>
          </w:tcPr>
          <w:p w14:paraId="3FAB4B50" w14:textId="77777777" w:rsidR="00983C95" w:rsidRPr="00983C95" w:rsidRDefault="00983C95" w:rsidP="00983C95">
            <w:pPr>
              <w:spacing w:before="80" w:after="80" w:line="240" w:lineRule="auto"/>
              <w:jc w:val="center"/>
              <w:rPr>
                <w:rFonts w:ascii="Söhne" w:eastAsia="Yu Mincho" w:hAnsi="Söhne" w:cs="Arial"/>
                <w:strike/>
                <w:sz w:val="16"/>
                <w:szCs w:val="16"/>
                <w:lang w:val="en-IE" w:eastAsia="zh-CN" w:bidi="en-US"/>
              </w:rPr>
            </w:pPr>
            <w:r w:rsidRPr="00983C95">
              <w:rPr>
                <w:rFonts w:ascii="Söhne" w:eastAsia="Yu Mincho" w:hAnsi="Söhne" w:cs="Arial"/>
                <w:strike/>
                <w:sz w:val="16"/>
                <w:szCs w:val="16"/>
                <w:lang w:val="en-IE" w:eastAsia="zh-CN" w:bidi="en-US"/>
              </w:rPr>
              <w:t>1</w:t>
            </w:r>
          </w:p>
        </w:tc>
      </w:tr>
      <w:tr w:rsidR="00983C95" w:rsidRPr="00983C95" w14:paraId="4AA0CD5E" w14:textId="77777777" w:rsidTr="005E584A">
        <w:trPr>
          <w:trHeight w:val="402"/>
          <w:jc w:val="center"/>
        </w:trPr>
        <w:tc>
          <w:tcPr>
            <w:tcW w:w="2399" w:type="dxa"/>
            <w:vAlign w:val="center"/>
          </w:tcPr>
          <w:p w14:paraId="0B9113B2"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u w:val="double"/>
                <w:lang w:val="en-IE" w:bidi="en-US"/>
              </w:rPr>
              <w:t>Conventional PCR followed by</w:t>
            </w:r>
            <w:r w:rsidRPr="00983C95">
              <w:rPr>
                <w:rFonts w:ascii="Söhne Kräftig" w:eastAsia="Times New Roman" w:hAnsi="Söhne Kräftig" w:cs="Arial"/>
                <w:sz w:val="16"/>
                <w:szCs w:val="16"/>
                <w:lang w:val="en-IE" w:bidi="en-US"/>
              </w:rPr>
              <w:t xml:space="preserve"> amplicon sequencing</w:t>
            </w:r>
          </w:p>
        </w:tc>
        <w:tc>
          <w:tcPr>
            <w:tcW w:w="995" w:type="dxa"/>
            <w:shd w:val="clear" w:color="auto" w:fill="D9D9D9"/>
            <w:vAlign w:val="center"/>
          </w:tcPr>
          <w:p w14:paraId="57AD5CD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0D09C3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E06F06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7B429A1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451ED819"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4B550C4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18C4C76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50236CF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vAlign w:val="center"/>
          </w:tcPr>
          <w:p w14:paraId="7A1783A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1100" w:type="dxa"/>
            <w:vAlign w:val="center"/>
          </w:tcPr>
          <w:p w14:paraId="7321EA7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992" w:type="dxa"/>
            <w:vAlign w:val="center"/>
          </w:tcPr>
          <w:p w14:paraId="772DBB5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709" w:type="dxa"/>
            <w:vAlign w:val="center"/>
          </w:tcPr>
          <w:p w14:paraId="3079C5A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r>
      <w:tr w:rsidR="00983C95" w:rsidRPr="00983C95" w14:paraId="7655EA54" w14:textId="77777777" w:rsidTr="005E584A">
        <w:trPr>
          <w:trHeight w:val="402"/>
          <w:jc w:val="center"/>
        </w:trPr>
        <w:tc>
          <w:tcPr>
            <w:tcW w:w="2399" w:type="dxa"/>
            <w:vAlign w:val="center"/>
          </w:tcPr>
          <w:p w14:paraId="15F37B59"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i/>
                <w:iCs/>
                <w:sz w:val="16"/>
                <w:szCs w:val="16"/>
                <w:lang w:val="en-IE" w:bidi="en-US"/>
              </w:rPr>
              <w:t>In-situ</w:t>
            </w:r>
            <w:r w:rsidRPr="00983C95">
              <w:rPr>
                <w:rFonts w:ascii="Söhne Kräftig" w:eastAsia="Times New Roman" w:hAnsi="Söhne Kräftig" w:cs="Arial"/>
                <w:sz w:val="16"/>
                <w:szCs w:val="16"/>
                <w:lang w:val="en-IE" w:bidi="en-US"/>
              </w:rPr>
              <w:t xml:space="preserve"> hybridisation</w:t>
            </w:r>
          </w:p>
        </w:tc>
        <w:tc>
          <w:tcPr>
            <w:tcW w:w="995" w:type="dxa"/>
            <w:tcBorders>
              <w:bottom w:val="single" w:sz="4" w:space="0" w:color="auto"/>
            </w:tcBorders>
            <w:shd w:val="clear" w:color="auto" w:fill="D9D9D9"/>
            <w:vAlign w:val="center"/>
          </w:tcPr>
          <w:p w14:paraId="38CFC3E6" w14:textId="77777777" w:rsidR="00983C95" w:rsidRPr="00983C95" w:rsidRDefault="00983C95" w:rsidP="00983C95">
            <w:pPr>
              <w:spacing w:before="80" w:after="80" w:line="240" w:lineRule="auto"/>
              <w:jc w:val="center"/>
              <w:rPr>
                <w:rFonts w:ascii="Söhne" w:eastAsia="Times New Roman" w:hAnsi="Söhne" w:cs="Arial"/>
                <w:i/>
                <w:iCs/>
                <w:sz w:val="16"/>
                <w:szCs w:val="16"/>
                <w:lang w:val="en-IE" w:bidi="en-US"/>
              </w:rPr>
            </w:pPr>
          </w:p>
        </w:tc>
        <w:tc>
          <w:tcPr>
            <w:tcW w:w="1134" w:type="dxa"/>
            <w:tcBorders>
              <w:bottom w:val="single" w:sz="4" w:space="0" w:color="auto"/>
            </w:tcBorders>
            <w:shd w:val="clear" w:color="auto" w:fill="D9D9D9"/>
            <w:vAlign w:val="center"/>
          </w:tcPr>
          <w:p w14:paraId="159B1BBC" w14:textId="77777777" w:rsidR="00983C95" w:rsidRPr="00983C95" w:rsidRDefault="00983C95" w:rsidP="00983C95">
            <w:pPr>
              <w:spacing w:before="80" w:after="80" w:line="240" w:lineRule="auto"/>
              <w:jc w:val="center"/>
              <w:rPr>
                <w:rFonts w:ascii="Söhne" w:eastAsia="Times New Roman" w:hAnsi="Söhne" w:cs="Arial"/>
                <w:i/>
                <w:iCs/>
                <w:sz w:val="16"/>
                <w:szCs w:val="16"/>
                <w:lang w:val="en-IE" w:bidi="en-US"/>
              </w:rPr>
            </w:pPr>
          </w:p>
        </w:tc>
        <w:tc>
          <w:tcPr>
            <w:tcW w:w="709" w:type="dxa"/>
            <w:tcBorders>
              <w:bottom w:val="single" w:sz="4" w:space="0" w:color="auto"/>
            </w:tcBorders>
            <w:shd w:val="clear" w:color="auto" w:fill="D9D9D9"/>
            <w:vAlign w:val="center"/>
          </w:tcPr>
          <w:p w14:paraId="7A83B23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tcBorders>
              <w:bottom w:val="single" w:sz="4" w:space="0" w:color="auto"/>
            </w:tcBorders>
            <w:shd w:val="clear" w:color="auto" w:fill="D9D9D9"/>
            <w:vAlign w:val="center"/>
          </w:tcPr>
          <w:p w14:paraId="2958EDA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tcBorders>
              <w:bottom w:val="single" w:sz="4" w:space="0" w:color="auto"/>
            </w:tcBorders>
            <w:shd w:val="clear" w:color="auto" w:fill="D9D9D9"/>
            <w:vAlign w:val="center"/>
          </w:tcPr>
          <w:p w14:paraId="53A1FB4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tcBorders>
              <w:bottom w:val="single" w:sz="4" w:space="0" w:color="auto"/>
            </w:tcBorders>
            <w:vAlign w:val="center"/>
          </w:tcPr>
          <w:p w14:paraId="0832BEC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850" w:type="dxa"/>
            <w:tcBorders>
              <w:bottom w:val="single" w:sz="4" w:space="0" w:color="auto"/>
            </w:tcBorders>
            <w:vAlign w:val="center"/>
          </w:tcPr>
          <w:p w14:paraId="1DCE5B5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634" w:type="dxa"/>
            <w:tcBorders>
              <w:bottom w:val="single" w:sz="4" w:space="0" w:color="auto"/>
            </w:tcBorders>
            <w:vAlign w:val="center"/>
          </w:tcPr>
          <w:p w14:paraId="1092300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c>
          <w:tcPr>
            <w:tcW w:w="960" w:type="dxa"/>
            <w:tcBorders>
              <w:bottom w:val="single" w:sz="4" w:space="0" w:color="auto"/>
            </w:tcBorders>
            <w:shd w:val="clear" w:color="auto" w:fill="D9D9D9"/>
            <w:vAlign w:val="center"/>
          </w:tcPr>
          <w:p w14:paraId="534880B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tcBorders>
              <w:bottom w:val="single" w:sz="4" w:space="0" w:color="auto"/>
            </w:tcBorders>
            <w:vAlign w:val="center"/>
          </w:tcPr>
          <w:p w14:paraId="1F7DB01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992" w:type="dxa"/>
            <w:tcBorders>
              <w:bottom w:val="single" w:sz="4" w:space="0" w:color="auto"/>
            </w:tcBorders>
            <w:vAlign w:val="center"/>
          </w:tcPr>
          <w:p w14:paraId="33DA09A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w:t>
            </w:r>
          </w:p>
        </w:tc>
        <w:tc>
          <w:tcPr>
            <w:tcW w:w="709" w:type="dxa"/>
            <w:tcBorders>
              <w:bottom w:val="single" w:sz="4" w:space="0" w:color="auto"/>
            </w:tcBorders>
            <w:vAlign w:val="center"/>
          </w:tcPr>
          <w:p w14:paraId="4EB0F939"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r w:rsidRPr="00983C95">
              <w:rPr>
                <w:rFonts w:ascii="Söhne" w:eastAsia="Yu Mincho" w:hAnsi="Söhne" w:cs="Arial"/>
                <w:sz w:val="16"/>
                <w:szCs w:val="16"/>
                <w:lang w:val="en-IE" w:eastAsia="zh-CN" w:bidi="en-US"/>
              </w:rPr>
              <w:t>1</w:t>
            </w:r>
          </w:p>
        </w:tc>
      </w:tr>
      <w:tr w:rsidR="00983C95" w:rsidRPr="00983C95" w14:paraId="0EC7C836" w14:textId="77777777" w:rsidTr="005E584A">
        <w:trPr>
          <w:trHeight w:val="402"/>
          <w:jc w:val="center"/>
        </w:trPr>
        <w:tc>
          <w:tcPr>
            <w:tcW w:w="2399" w:type="dxa"/>
            <w:vAlign w:val="center"/>
          </w:tcPr>
          <w:p w14:paraId="590B8490"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Bioassay</w:t>
            </w:r>
          </w:p>
        </w:tc>
        <w:tc>
          <w:tcPr>
            <w:tcW w:w="995" w:type="dxa"/>
            <w:shd w:val="clear" w:color="auto" w:fill="D9D9D9"/>
            <w:vAlign w:val="center"/>
          </w:tcPr>
          <w:p w14:paraId="29E95F7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78FFC87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7BB846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3FD4572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auto"/>
            <w:vAlign w:val="center"/>
          </w:tcPr>
          <w:p w14:paraId="501FB820" w14:textId="77777777" w:rsidR="00983C95" w:rsidRPr="00983C95" w:rsidRDefault="00983C95" w:rsidP="00983C95">
            <w:pPr>
              <w:spacing w:before="80" w:after="80" w:line="240" w:lineRule="auto"/>
              <w:jc w:val="center"/>
              <w:rPr>
                <w:rFonts w:ascii="Söhne" w:eastAsia="Times New Roman" w:hAnsi="Söhne" w:cs="Arial"/>
                <w:sz w:val="16"/>
                <w:szCs w:val="16"/>
                <w:highlight w:val="yellow"/>
                <w:lang w:val="en-IE" w:bidi="en-US"/>
              </w:rPr>
            </w:pPr>
            <w:r w:rsidRPr="00983C95">
              <w:rPr>
                <w:rFonts w:ascii="Söhne" w:eastAsia="Times New Roman" w:hAnsi="Söhne" w:cs="Arial"/>
                <w:sz w:val="16"/>
                <w:szCs w:val="16"/>
                <w:highlight w:val="yellow"/>
                <w:u w:val="double"/>
                <w:lang w:val="en-IE" w:bidi="en-US"/>
              </w:rPr>
              <w:t>+</w:t>
            </w:r>
          </w:p>
        </w:tc>
        <w:tc>
          <w:tcPr>
            <w:tcW w:w="992" w:type="dxa"/>
            <w:shd w:val="clear" w:color="auto" w:fill="auto"/>
            <w:vAlign w:val="center"/>
          </w:tcPr>
          <w:p w14:paraId="6BE7785E" w14:textId="77777777" w:rsidR="00983C95" w:rsidRPr="00983C95" w:rsidRDefault="00983C95" w:rsidP="00983C95">
            <w:pPr>
              <w:spacing w:before="80" w:after="80" w:line="240" w:lineRule="auto"/>
              <w:jc w:val="center"/>
              <w:rPr>
                <w:rFonts w:ascii="Söhne" w:eastAsia="Times New Roman" w:hAnsi="Söhne" w:cs="Arial"/>
                <w:sz w:val="16"/>
                <w:szCs w:val="16"/>
                <w:highlight w:val="yellow"/>
                <w:lang w:val="en-IE" w:bidi="en-US"/>
              </w:rPr>
            </w:pPr>
            <w:r w:rsidRPr="00983C95">
              <w:rPr>
                <w:rFonts w:ascii="Söhne" w:eastAsia="Times New Roman" w:hAnsi="Söhne" w:cs="Arial"/>
                <w:sz w:val="16"/>
                <w:szCs w:val="16"/>
                <w:highlight w:val="yellow"/>
                <w:u w:val="double"/>
                <w:lang w:val="en-IE" w:bidi="en-US"/>
              </w:rPr>
              <w:t>+</w:t>
            </w:r>
          </w:p>
        </w:tc>
        <w:tc>
          <w:tcPr>
            <w:tcW w:w="850" w:type="dxa"/>
            <w:shd w:val="clear" w:color="auto" w:fill="auto"/>
            <w:vAlign w:val="center"/>
          </w:tcPr>
          <w:p w14:paraId="2A0198B3" w14:textId="77777777" w:rsidR="00983C95" w:rsidRPr="00983C95" w:rsidRDefault="00983C95" w:rsidP="00983C95">
            <w:pPr>
              <w:spacing w:before="80" w:after="80" w:line="240" w:lineRule="auto"/>
              <w:jc w:val="center"/>
              <w:rPr>
                <w:rFonts w:ascii="Söhne" w:eastAsia="Times New Roman" w:hAnsi="Söhne" w:cs="Arial"/>
                <w:sz w:val="16"/>
                <w:szCs w:val="16"/>
                <w:highlight w:val="yellow"/>
                <w:lang w:val="en-IE" w:bidi="en-US"/>
              </w:rPr>
            </w:pPr>
            <w:r w:rsidRPr="00983C95">
              <w:rPr>
                <w:rFonts w:ascii="Söhne" w:eastAsia="Times New Roman" w:hAnsi="Söhne" w:cs="Arial"/>
                <w:sz w:val="16"/>
                <w:szCs w:val="16"/>
                <w:highlight w:val="yellow"/>
                <w:u w:val="double"/>
                <w:lang w:val="en-IE" w:bidi="en-US"/>
              </w:rPr>
              <w:t>+</w:t>
            </w:r>
          </w:p>
        </w:tc>
        <w:tc>
          <w:tcPr>
            <w:tcW w:w="634" w:type="dxa"/>
            <w:shd w:val="clear" w:color="auto" w:fill="auto"/>
            <w:vAlign w:val="center"/>
          </w:tcPr>
          <w:p w14:paraId="1A4BC9E5" w14:textId="77777777" w:rsidR="00983C95" w:rsidRPr="00983C95" w:rsidRDefault="00983C95" w:rsidP="00983C95">
            <w:pPr>
              <w:spacing w:before="80" w:after="80" w:line="240" w:lineRule="auto"/>
              <w:jc w:val="center"/>
              <w:rPr>
                <w:rFonts w:ascii="Söhne" w:eastAsia="Times New Roman" w:hAnsi="Söhne" w:cs="Arial"/>
                <w:sz w:val="16"/>
                <w:szCs w:val="16"/>
                <w:highlight w:val="yellow"/>
                <w:lang w:val="en-IE" w:bidi="en-US"/>
              </w:rPr>
            </w:pPr>
            <w:r w:rsidRPr="00983C95">
              <w:rPr>
                <w:rFonts w:ascii="Söhne" w:eastAsia="Times New Roman" w:hAnsi="Söhne" w:cs="Arial"/>
                <w:sz w:val="16"/>
                <w:szCs w:val="16"/>
                <w:highlight w:val="yellow"/>
                <w:u w:val="double"/>
                <w:lang w:val="en-IE" w:bidi="en-US"/>
              </w:rPr>
              <w:t>NA</w:t>
            </w:r>
          </w:p>
        </w:tc>
        <w:tc>
          <w:tcPr>
            <w:tcW w:w="960" w:type="dxa"/>
            <w:shd w:val="clear" w:color="auto" w:fill="D9D9D9"/>
            <w:vAlign w:val="center"/>
          </w:tcPr>
          <w:p w14:paraId="688D18E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08003C8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0C1F5AF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9F09D1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r w:rsidR="00983C95" w:rsidRPr="00983C95" w14:paraId="21686ED2" w14:textId="77777777" w:rsidTr="005E584A">
        <w:trPr>
          <w:trHeight w:val="402"/>
          <w:jc w:val="center"/>
        </w:trPr>
        <w:tc>
          <w:tcPr>
            <w:tcW w:w="2399" w:type="dxa"/>
            <w:vAlign w:val="center"/>
          </w:tcPr>
          <w:p w14:paraId="21588A53"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LAMP</w:t>
            </w:r>
          </w:p>
        </w:tc>
        <w:tc>
          <w:tcPr>
            <w:tcW w:w="995" w:type="dxa"/>
            <w:shd w:val="clear" w:color="auto" w:fill="D9D9D9"/>
            <w:vAlign w:val="center"/>
          </w:tcPr>
          <w:p w14:paraId="5CBF494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16BDCD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20359E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259DB9A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2EE92739"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41927579"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2AB16C8A"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634" w:type="dxa"/>
            <w:shd w:val="clear" w:color="auto" w:fill="D9D9D9"/>
            <w:vAlign w:val="center"/>
          </w:tcPr>
          <w:p w14:paraId="739DABD8"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02D662C7"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vAlign w:val="center"/>
          </w:tcPr>
          <w:p w14:paraId="75980F95"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659AB62C"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7B4BAE3E"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r>
      <w:tr w:rsidR="00983C95" w:rsidRPr="00983C95" w14:paraId="34A4C584" w14:textId="77777777" w:rsidTr="005E584A">
        <w:trPr>
          <w:trHeight w:val="402"/>
          <w:jc w:val="center"/>
        </w:trPr>
        <w:tc>
          <w:tcPr>
            <w:tcW w:w="2399" w:type="dxa"/>
            <w:vAlign w:val="center"/>
          </w:tcPr>
          <w:p w14:paraId="3E703027"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Ab-ELISA</w:t>
            </w:r>
          </w:p>
        </w:tc>
        <w:tc>
          <w:tcPr>
            <w:tcW w:w="995" w:type="dxa"/>
            <w:shd w:val="clear" w:color="auto" w:fill="D9D9D9"/>
            <w:vAlign w:val="center"/>
          </w:tcPr>
          <w:p w14:paraId="70F4150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ED82EC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6872B7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2A9A226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7627BF62"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6DE6023E"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2BF0F73D"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634" w:type="dxa"/>
            <w:shd w:val="clear" w:color="auto" w:fill="D9D9D9"/>
            <w:vAlign w:val="center"/>
          </w:tcPr>
          <w:p w14:paraId="5649BC98"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65D50076"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vAlign w:val="center"/>
          </w:tcPr>
          <w:p w14:paraId="377FA8A0"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3774E255"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1A1BB96A" w14:textId="77777777" w:rsidR="00983C95" w:rsidRPr="00983C95" w:rsidRDefault="00983C95" w:rsidP="00983C95">
            <w:pPr>
              <w:spacing w:before="80" w:after="80" w:line="240" w:lineRule="auto"/>
              <w:jc w:val="center"/>
              <w:rPr>
                <w:rFonts w:ascii="Söhne" w:eastAsia="Times New Roman" w:hAnsi="Söhne" w:cs="Arial"/>
                <w:strike/>
                <w:sz w:val="16"/>
                <w:szCs w:val="16"/>
                <w:lang w:val="en-IE" w:bidi="en-US"/>
              </w:rPr>
            </w:pPr>
          </w:p>
        </w:tc>
      </w:tr>
      <w:tr w:rsidR="00983C95" w:rsidRPr="00983C95" w14:paraId="50D660CB" w14:textId="77777777" w:rsidTr="005E584A">
        <w:trPr>
          <w:trHeight w:val="402"/>
          <w:jc w:val="center"/>
        </w:trPr>
        <w:tc>
          <w:tcPr>
            <w:tcW w:w="2399" w:type="dxa"/>
            <w:vAlign w:val="center"/>
          </w:tcPr>
          <w:p w14:paraId="303A20A9"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Ag-ELISA</w:t>
            </w:r>
          </w:p>
        </w:tc>
        <w:tc>
          <w:tcPr>
            <w:tcW w:w="995" w:type="dxa"/>
            <w:shd w:val="clear" w:color="auto" w:fill="D9D9D9"/>
            <w:vAlign w:val="center"/>
          </w:tcPr>
          <w:p w14:paraId="4103C6B7"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48EB33B8"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22C008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6D1BDC2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60D8CF9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78A05FC4"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3B86DDD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3FF9297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54B99CF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6FC69F0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31D04C81"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F13ACB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r w:rsidR="00983C95" w:rsidRPr="00983C95" w14:paraId="5184C66A" w14:textId="77777777" w:rsidTr="005E584A">
        <w:trPr>
          <w:trHeight w:val="402"/>
          <w:jc w:val="center"/>
        </w:trPr>
        <w:tc>
          <w:tcPr>
            <w:tcW w:w="2399" w:type="dxa"/>
            <w:vAlign w:val="center"/>
          </w:tcPr>
          <w:p w14:paraId="4B4C23F0"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Other antigen detection methods</w:t>
            </w:r>
            <w:r w:rsidRPr="00983C95">
              <w:rPr>
                <w:rFonts w:ascii="Söhne Kräftig" w:eastAsia="Times New Roman" w:hAnsi="Söhne Kräftig" w:cs="Arial"/>
                <w:sz w:val="16"/>
                <w:szCs w:val="16"/>
                <w:vertAlign w:val="superscript"/>
                <w:lang w:val="en-US" w:bidi="en-US"/>
              </w:rPr>
              <w:t>3</w:t>
            </w:r>
          </w:p>
        </w:tc>
        <w:tc>
          <w:tcPr>
            <w:tcW w:w="995" w:type="dxa"/>
            <w:shd w:val="clear" w:color="auto" w:fill="D9D9D9"/>
            <w:vAlign w:val="center"/>
          </w:tcPr>
          <w:p w14:paraId="430B8002"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2B3AB40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61A431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388BD60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679F28E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5FF2107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646FB06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2BCF383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47AC2C7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3332713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312E870D"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60FFD46A"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r w:rsidR="00983C95" w:rsidRPr="00983C95" w14:paraId="6FF27D76" w14:textId="77777777" w:rsidTr="005E584A">
        <w:trPr>
          <w:trHeight w:val="269"/>
          <w:jc w:val="center"/>
        </w:trPr>
        <w:tc>
          <w:tcPr>
            <w:tcW w:w="2399" w:type="dxa"/>
            <w:vAlign w:val="center"/>
          </w:tcPr>
          <w:p w14:paraId="6DBCBD87" w14:textId="77777777" w:rsidR="00983C95" w:rsidRPr="00983C95" w:rsidRDefault="00983C95" w:rsidP="00983C95">
            <w:pPr>
              <w:spacing w:before="80" w:after="80" w:line="240" w:lineRule="auto"/>
              <w:jc w:val="center"/>
              <w:rPr>
                <w:rFonts w:ascii="Söhne Kräftig" w:eastAsia="Times New Roman" w:hAnsi="Söhne Kräftig" w:cs="Arial"/>
                <w:sz w:val="16"/>
                <w:szCs w:val="16"/>
                <w:lang w:val="en-IE" w:bidi="en-US"/>
              </w:rPr>
            </w:pPr>
            <w:r w:rsidRPr="00983C95">
              <w:rPr>
                <w:rFonts w:ascii="Söhne Kräftig" w:eastAsia="Times New Roman" w:hAnsi="Söhne Kräftig" w:cs="Arial"/>
                <w:sz w:val="16"/>
                <w:szCs w:val="16"/>
                <w:lang w:val="en-IE" w:bidi="en-US"/>
              </w:rPr>
              <w:t>Other methods</w:t>
            </w:r>
            <w:r w:rsidRPr="00983C95">
              <w:rPr>
                <w:rFonts w:ascii="Söhne Kräftig" w:eastAsia="Times New Roman" w:hAnsi="Söhne Kräftig" w:cs="Arial"/>
                <w:sz w:val="16"/>
                <w:szCs w:val="16"/>
                <w:vertAlign w:val="superscript"/>
                <w:lang w:val="en-US" w:bidi="en-US"/>
              </w:rPr>
              <w:t>3</w:t>
            </w:r>
          </w:p>
        </w:tc>
        <w:tc>
          <w:tcPr>
            <w:tcW w:w="995" w:type="dxa"/>
            <w:shd w:val="clear" w:color="auto" w:fill="D9D9D9"/>
            <w:vAlign w:val="center"/>
          </w:tcPr>
          <w:p w14:paraId="7CBFC8E5"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48AE5E9"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FA30B1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570" w:type="dxa"/>
            <w:shd w:val="clear" w:color="auto" w:fill="D9D9D9"/>
            <w:vAlign w:val="center"/>
          </w:tcPr>
          <w:p w14:paraId="6CEC4278"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48" w:type="dxa"/>
            <w:shd w:val="clear" w:color="auto" w:fill="D9D9D9"/>
            <w:vAlign w:val="center"/>
          </w:tcPr>
          <w:p w14:paraId="3EBEF7BF"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3F33217E"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2798C713"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2B19F7C0"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1E423E0B"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6E52F5C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7FAC9016"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A209B4C" w14:textId="77777777" w:rsidR="00983C95" w:rsidRPr="00983C95" w:rsidRDefault="00983C95" w:rsidP="00983C95">
            <w:pPr>
              <w:spacing w:before="80" w:after="80" w:line="240" w:lineRule="auto"/>
              <w:jc w:val="center"/>
              <w:rPr>
                <w:rFonts w:ascii="Söhne" w:eastAsia="Times New Roman" w:hAnsi="Söhne" w:cs="Arial"/>
                <w:sz w:val="16"/>
                <w:szCs w:val="16"/>
                <w:lang w:val="en-IE" w:bidi="en-US"/>
              </w:rPr>
            </w:pPr>
          </w:p>
        </w:tc>
      </w:tr>
    </w:tbl>
    <w:bookmarkEnd w:id="1"/>
    <w:p w14:paraId="44C40350" w14:textId="77777777" w:rsidR="00983C95" w:rsidRPr="00983C95" w:rsidRDefault="00983C95" w:rsidP="00983C95">
      <w:pPr>
        <w:tabs>
          <w:tab w:val="left" w:pos="-720"/>
        </w:tabs>
        <w:spacing w:after="0" w:line="240" w:lineRule="auto"/>
        <w:jc w:val="center"/>
        <w:rPr>
          <w:rFonts w:ascii="Söhne" w:eastAsia="Times New Roman" w:hAnsi="Söhne" w:cs="Arial"/>
          <w:sz w:val="18"/>
          <w:lang w:val="en-IE" w:bidi="en-US"/>
        </w:rPr>
      </w:pPr>
      <w:r w:rsidRPr="00983C95">
        <w:rPr>
          <w:rFonts w:ascii="Söhne" w:eastAsia="Times New Roman" w:hAnsi="Söhne" w:cs="Arial"/>
          <w:sz w:val="16"/>
          <w:szCs w:val="16"/>
          <w:lang w:val="en-GB" w:eastAsia="fr-FR"/>
        </w:rPr>
        <w:t>LV = level of validation, refers to the stage of validation in the WOAH Pathway (chapter 1.1.2)</w:t>
      </w:r>
      <w:r w:rsidRPr="00983C95">
        <w:rPr>
          <w:rFonts w:ascii="Söhne" w:eastAsia="Times New Roman" w:hAnsi="Söhne" w:cs="Arial"/>
          <w:sz w:val="16"/>
          <w:szCs w:val="16"/>
          <w:lang w:val="en-US" w:bidi="en-US"/>
        </w:rPr>
        <w:t xml:space="preserve">; NA = not available; </w:t>
      </w:r>
      <w:r w:rsidRPr="00983C95">
        <w:rPr>
          <w:rFonts w:ascii="Söhne" w:eastAsia="Times New Roman" w:hAnsi="Söhne" w:cs="Arial"/>
          <w:sz w:val="16"/>
          <w:szCs w:val="16"/>
          <w:lang w:val="en-GB" w:eastAsia="fr-FR"/>
        </w:rPr>
        <w:t xml:space="preserve">PCR = polymerase chain reaction; </w:t>
      </w:r>
      <w:r w:rsidRPr="00983C95">
        <w:rPr>
          <w:rFonts w:ascii="Söhne" w:eastAsia="Times New Roman" w:hAnsi="Söhne" w:cs="Arial"/>
          <w:sz w:val="16"/>
          <w:szCs w:val="16"/>
          <w:lang w:val="en-GB" w:eastAsia="fr-FR"/>
        </w:rPr>
        <w:br/>
      </w:r>
      <w:r w:rsidRPr="00983C95">
        <w:rPr>
          <w:rFonts w:ascii="Söhne" w:eastAsia="Times New Roman" w:hAnsi="Söhne" w:cs="Arial"/>
          <w:sz w:val="16"/>
          <w:szCs w:val="16"/>
          <w:lang w:val="en-IE" w:eastAsia="fr-FR" w:bidi="en-US"/>
        </w:rPr>
        <w:t xml:space="preserve">LAMP = loop-mediated isothermal amplification; </w:t>
      </w:r>
      <w:r w:rsidRPr="00983C95">
        <w:rPr>
          <w:rFonts w:ascii="Söhne" w:eastAsia="Times New Roman" w:hAnsi="Söhne" w:cs="Arial"/>
          <w:sz w:val="16"/>
          <w:szCs w:val="16"/>
          <w:lang w:val="en-IE" w:eastAsia="fr-FR"/>
        </w:rPr>
        <w:t>Ab- or Ag-ELISA = antibody or antigen enzyme-linked immunosorbent assay, respectively.</w:t>
      </w:r>
      <w:r w:rsidRPr="00983C95">
        <w:rPr>
          <w:rFonts w:ascii="Söhne" w:eastAsia="Times New Roman" w:hAnsi="Söhne" w:cs="Arial"/>
          <w:sz w:val="16"/>
          <w:szCs w:val="16"/>
          <w:lang w:val="en-IE" w:eastAsia="fr-FR" w:bidi="en-US"/>
        </w:rPr>
        <w:br/>
      </w:r>
      <w:r w:rsidRPr="00983C95">
        <w:rPr>
          <w:rFonts w:ascii="Söhne" w:eastAsia="Times New Roman" w:hAnsi="Söhne" w:cs="Arial"/>
          <w:sz w:val="16"/>
          <w:szCs w:val="16"/>
          <w:vertAlign w:val="superscript"/>
          <w:lang w:val="en-IE" w:eastAsia="fr-FR" w:bidi="en-US"/>
        </w:rPr>
        <w:t>1</w:t>
      </w:r>
      <w:r w:rsidRPr="00983C95">
        <w:rPr>
          <w:rFonts w:ascii="Söhne" w:eastAsia="Times New Roman" w:hAnsi="Söhne" w:cs="Arial"/>
          <w:sz w:val="16"/>
          <w:szCs w:val="16"/>
          <w:lang w:val="en-IE" w:eastAsia="fr-FR"/>
        </w:rPr>
        <w:t xml:space="preserve">For confirmatory diagnoses, methods need to be carried out in combination (see Section 6). </w:t>
      </w:r>
      <w:r w:rsidRPr="00983C95">
        <w:rPr>
          <w:rFonts w:ascii="Söhne" w:eastAsia="Times New Roman" w:hAnsi="Söhne" w:cs="Arial"/>
          <w:sz w:val="16"/>
          <w:szCs w:val="16"/>
          <w:vertAlign w:val="superscript"/>
          <w:lang w:val="en-IE" w:eastAsia="fr-FR" w:bidi="en-US"/>
        </w:rPr>
        <w:t>2</w:t>
      </w:r>
      <w:r w:rsidRPr="00983C95">
        <w:rPr>
          <w:rFonts w:ascii="Söhne" w:eastAsia="Times New Roman" w:hAnsi="Söhne" w:cs="Arial"/>
          <w:sz w:val="16"/>
          <w:szCs w:val="16"/>
          <w:lang w:val="en-IE" w:eastAsia="fr-FR"/>
        </w:rPr>
        <w:t xml:space="preserve">Susceptibility of early and juvenile life stages is described in Section 2.2.3. </w:t>
      </w:r>
      <w:r w:rsidRPr="00983C95">
        <w:rPr>
          <w:rFonts w:ascii="Söhne" w:eastAsia="Times New Roman" w:hAnsi="Söhne" w:cs="Arial"/>
          <w:sz w:val="16"/>
          <w:szCs w:val="16"/>
          <w:lang w:val="en-IE" w:eastAsia="fr-FR"/>
        </w:rPr>
        <w:br/>
      </w:r>
      <w:r w:rsidRPr="00983C95">
        <w:rPr>
          <w:rFonts w:ascii="Söhne" w:eastAsia="Times New Roman" w:hAnsi="Söhne" w:cs="Arial"/>
          <w:sz w:val="16"/>
          <w:szCs w:val="16"/>
          <w:vertAlign w:val="superscript"/>
          <w:lang w:val="en-IE" w:eastAsia="fr-FR"/>
        </w:rPr>
        <w:t>3</w:t>
      </w:r>
      <w:r w:rsidRPr="00983C95">
        <w:rPr>
          <w:rFonts w:ascii="Söhne" w:eastAsia="Times New Roman" w:hAnsi="Söhne" w:cs="Arial"/>
          <w:sz w:val="16"/>
          <w:szCs w:val="16"/>
          <w:lang w:val="en-IE" w:eastAsia="fr-FR"/>
        </w:rPr>
        <w:t>Specify the test used. Shading indicates the test is inappropriate or should not be used for this purpose.</w:t>
      </w:r>
    </w:p>
    <w:p w14:paraId="2EC0002F" w14:textId="77777777" w:rsidR="00983C95" w:rsidRPr="00983C95" w:rsidRDefault="00983C95" w:rsidP="00983C95">
      <w:pPr>
        <w:spacing w:after="240" w:line="240" w:lineRule="auto"/>
        <w:jc w:val="both"/>
        <w:rPr>
          <w:rFonts w:ascii="Arial" w:eastAsia="Times New Roman" w:hAnsi="Arial" w:cs="Arial"/>
          <w:sz w:val="18"/>
          <w:lang w:val="en-IE" w:bidi="en-US"/>
        </w:rPr>
        <w:sectPr w:rsidR="00983C95" w:rsidRPr="00983C95" w:rsidSect="00541680">
          <w:headerReference w:type="even" r:id="rId7"/>
          <w:headerReference w:type="first" r:id="rId8"/>
          <w:footerReference w:type="first" r:id="rId9"/>
          <w:pgSz w:w="16838" w:h="11906" w:orient="landscape" w:code="9"/>
          <w:pgMar w:top="720" w:right="720" w:bottom="720" w:left="720" w:header="709" w:footer="709" w:gutter="0"/>
          <w:cols w:space="708"/>
          <w:docGrid w:linePitch="360"/>
        </w:sectPr>
      </w:pPr>
    </w:p>
    <w:p w14:paraId="16D3E90A"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lastRenderedPageBreak/>
        <w:t>4.1.</w:t>
      </w:r>
      <w:r w:rsidRPr="00983C95">
        <w:rPr>
          <w:rFonts w:ascii="Söhne Kräftig" w:eastAsia="MS Mincho" w:hAnsi="Söhne Kräftig" w:cs="Times New Roman"/>
          <w:sz w:val="21"/>
          <w:szCs w:val="20"/>
          <w:lang w:val="da-DK" w:eastAsia="da-DK"/>
        </w:rPr>
        <w:tab/>
        <w:t xml:space="preserve">Wet mounts </w:t>
      </w:r>
    </w:p>
    <w:p w14:paraId="5A9FCF91"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No reliable methods have been developed for direct microscopic pathology.</w:t>
      </w:r>
    </w:p>
    <w:p w14:paraId="3FEACA96"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4.2.</w:t>
      </w:r>
      <w:r w:rsidRPr="00983C95">
        <w:rPr>
          <w:rFonts w:ascii="Söhne Kräftig" w:eastAsia="MS Mincho" w:hAnsi="Söhne Kräftig" w:cs="Times New Roman"/>
          <w:sz w:val="21"/>
          <w:szCs w:val="20"/>
          <w:lang w:val="da-DK" w:eastAsia="da-DK"/>
        </w:rPr>
        <w:tab/>
        <w:t>Histopathology and cytopathology</w:t>
      </w:r>
    </w:p>
    <w:p w14:paraId="2D6ABF53"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Presumptive acute infections in </w:t>
      </w:r>
      <w:r w:rsidRPr="00983C95">
        <w:rPr>
          <w:rFonts w:ascii="Söhne" w:eastAsia="Times New Roman" w:hAnsi="Söhne" w:cs="Times New Roman"/>
          <w:i/>
          <w:sz w:val="18"/>
          <w:lang w:val="en-IE"/>
        </w:rPr>
        <w:t>P. stylirostris</w:t>
      </w:r>
      <w:r w:rsidRPr="00983C95">
        <w:rPr>
          <w:rFonts w:ascii="Söhne" w:eastAsia="Times New Roman" w:hAnsi="Söhne" w:cs="Times New Roman"/>
          <w:sz w:val="18"/>
          <w:lang w:val="en-IE"/>
        </w:rPr>
        <w:t xml:space="preserve"> can be readily diagnosed using routine haematoxylin and eosin (H&amp;E) stained sections whereas chronic infection are much more difficult to diagnose using these staining methods. For diagnosis of chronic infections and confirmation of acute infections however, the use of molecular methods is required for IHHNV detection (e.g. by PCR or application of IHHNV-specific DNA probes to dot-blot hybridisation tests or </w:t>
      </w:r>
      <w:r w:rsidRPr="00983C95">
        <w:rPr>
          <w:rFonts w:ascii="Söhne" w:eastAsia="Times New Roman" w:hAnsi="Söhne" w:cs="Times New Roman"/>
          <w:i/>
          <w:sz w:val="18"/>
          <w:lang w:val="en-IE"/>
        </w:rPr>
        <w:t>in-situ</w:t>
      </w:r>
      <w:r w:rsidRPr="00983C95">
        <w:rPr>
          <w:rFonts w:ascii="Söhne" w:eastAsia="Times New Roman" w:hAnsi="Söhne" w:cs="Times New Roman"/>
          <w:sz w:val="18"/>
          <w:lang w:val="en-IE"/>
        </w:rPr>
        <w:t xml:space="preserve"> hybridisation [ISH] of histological sections). </w:t>
      </w:r>
    </w:p>
    <w:p w14:paraId="733A9D07" w14:textId="77777777" w:rsidR="00983C95" w:rsidRPr="00983C95" w:rsidRDefault="00983C95" w:rsidP="00983C95">
      <w:pPr>
        <w:spacing w:after="240" w:line="240" w:lineRule="auto"/>
        <w:ind w:left="284"/>
        <w:jc w:val="both"/>
        <w:rPr>
          <w:rFonts w:ascii="Söhne" w:eastAsia="Times New Roman" w:hAnsi="Söhne" w:cs="Times New Roman"/>
          <w:spacing w:val="-2"/>
          <w:sz w:val="18"/>
          <w:lang w:val="en-IE"/>
        </w:rPr>
      </w:pPr>
      <w:r w:rsidRPr="00983C95">
        <w:rPr>
          <w:rFonts w:ascii="Söhne" w:eastAsia="Times New Roman" w:hAnsi="Söhne" w:cs="Times New Roman"/>
          <w:spacing w:val="-2"/>
          <w:sz w:val="18"/>
          <w:lang w:val="en-IE"/>
        </w:rPr>
        <w:t>Histological demonstration of prominent intranuclear, Cowdry type A inclusion bodies</w:t>
      </w:r>
      <w:r w:rsidRPr="00983C95">
        <w:rPr>
          <w:rFonts w:ascii="Söhne" w:eastAsia="Times New Roman" w:hAnsi="Söhne" w:cs="Times New Roman"/>
          <w:spacing w:val="-2"/>
          <w:sz w:val="18"/>
          <w:u w:val="double"/>
          <w:lang w:val="en-IE"/>
        </w:rPr>
        <w:t>,</w:t>
      </w:r>
      <w:r w:rsidRPr="00983C95">
        <w:rPr>
          <w:rFonts w:ascii="Söhne" w:eastAsia="Times New Roman" w:hAnsi="Söhne" w:cs="Times New Roman"/>
          <w:spacing w:val="-2"/>
          <w:sz w:val="18"/>
          <w:lang w:val="en-IE"/>
        </w:rPr>
        <w:t xml:space="preserve"> provides a provisional diagnosis of infection with IHHNV. These characteristic IHHNV inclusion bodies are eosinophilic and often haloed (with H&amp;E stains of tissues preserved with fixatives that contain acetic acid, such as Davidson’s AFA and Bouin’s solution) (</w:t>
      </w:r>
      <w:r w:rsidRPr="00983C95">
        <w:rPr>
          <w:rFonts w:ascii="Söhne" w:eastAsia="Times New Roman" w:hAnsi="Söhne" w:cs="Times New Roman"/>
          <w:spacing w:val="-2"/>
          <w:sz w:val="18"/>
          <w:lang w:val="en-US"/>
        </w:rPr>
        <w:t>Bell &amp; Lightner, 1988; Lightner, 1996</w:t>
      </w:r>
      <w:r w:rsidRPr="00983C95">
        <w:rPr>
          <w:rFonts w:ascii="Söhne" w:eastAsia="Times New Roman" w:hAnsi="Söhne" w:cs="Times New Roman"/>
          <w:spacing w:val="-2"/>
          <w:sz w:val="18"/>
          <w:lang w:val="en-IE"/>
        </w:rPr>
        <w:t xml:space="preserve">), intranuclear inclusion bodies within chromatin-marginated, hypertrophied nuclei of cells in tissues of ectodermal (epidermis, hypodermal epithelium of fore- and hindgut, nerve cord and nerve ganglia) and mesodermal origin (haematopoietic organs, antennal gland, gonads, lymphoid organ, and connective tissue). Intranuclear inclusion bodies caused by infection with IHHNV may be easily confused with developing intranuclear inclusion bodies caused by WSSV infection. </w:t>
      </w:r>
      <w:r w:rsidRPr="00983C95">
        <w:rPr>
          <w:rFonts w:ascii="Söhne" w:eastAsia="Times New Roman" w:hAnsi="Söhne" w:cs="Times New Roman"/>
          <w:iCs/>
          <w:spacing w:val="-2"/>
          <w:sz w:val="18"/>
          <w:lang w:val="en-IE"/>
        </w:rPr>
        <w:t>ISH</w:t>
      </w:r>
      <w:r w:rsidRPr="00983C95">
        <w:rPr>
          <w:rFonts w:ascii="Söhne" w:eastAsia="Times New Roman" w:hAnsi="Söhne" w:cs="Times New Roman"/>
          <w:spacing w:val="-2"/>
          <w:sz w:val="18"/>
          <w:lang w:val="en-IE"/>
        </w:rPr>
        <w:t xml:space="preserve"> assay (see Section 4.6 </w:t>
      </w:r>
      <w:r w:rsidRPr="00983C95">
        <w:rPr>
          <w:rFonts w:ascii="Söhne" w:eastAsia="Times New Roman" w:hAnsi="Söhne" w:cs="Times New Roman"/>
          <w:iCs/>
          <w:sz w:val="18"/>
          <w:lang w:val="en-IE"/>
        </w:rPr>
        <w:t>In-situ</w:t>
      </w:r>
      <w:r w:rsidRPr="00983C95">
        <w:rPr>
          <w:rFonts w:ascii="Söhne" w:eastAsia="Times New Roman" w:hAnsi="Söhne" w:cs="Times New Roman"/>
          <w:sz w:val="18"/>
          <w:lang w:val="en-IE"/>
        </w:rPr>
        <w:t xml:space="preserve"> </w:t>
      </w:r>
      <w:r w:rsidRPr="00983C95">
        <w:rPr>
          <w:rFonts w:ascii="Söhne" w:eastAsia="Times New Roman" w:hAnsi="Söhne" w:cs="Times New Roman"/>
          <w:i/>
          <w:iCs/>
          <w:sz w:val="18"/>
          <w:lang w:val="en-IE"/>
        </w:rPr>
        <w:t>hybridisation</w:t>
      </w:r>
      <w:r w:rsidRPr="00983C95">
        <w:rPr>
          <w:rFonts w:ascii="Söhne" w:eastAsia="Times New Roman" w:hAnsi="Söhne" w:cs="Times New Roman"/>
          <w:spacing w:val="-2"/>
          <w:sz w:val="18"/>
          <w:lang w:val="en-IE"/>
        </w:rPr>
        <w:t>) of such sections with a DNA probe specific to IHHNV provides a definitive diagnosis of infection with IHHNV (</w:t>
      </w:r>
      <w:r w:rsidRPr="00983C95">
        <w:rPr>
          <w:rFonts w:ascii="Söhne" w:eastAsia="Times New Roman" w:hAnsi="Söhne" w:cs="Times New Roman"/>
          <w:spacing w:val="-2"/>
          <w:sz w:val="18"/>
          <w:lang w:val="en-US"/>
        </w:rPr>
        <w:t>Lightner, 1996a; 2011; Lightner &amp; Redman, 1998a</w:t>
      </w:r>
      <w:r w:rsidRPr="00983C95">
        <w:rPr>
          <w:rFonts w:ascii="Söhne" w:eastAsia="Times New Roman" w:hAnsi="Söhne" w:cs="Times New Roman"/>
          <w:spacing w:val="-2"/>
          <w:sz w:val="18"/>
          <w:lang w:val="en-IE"/>
        </w:rPr>
        <w:t>).</w:t>
      </w:r>
    </w:p>
    <w:p w14:paraId="2AA7197E" w14:textId="77777777" w:rsidR="00983C95" w:rsidRPr="00983C95" w:rsidRDefault="00983C95" w:rsidP="00983C95">
      <w:pPr>
        <w:spacing w:after="240" w:line="240" w:lineRule="auto"/>
        <w:ind w:left="284"/>
        <w:jc w:val="both"/>
        <w:rPr>
          <w:rFonts w:ascii="Söhne" w:eastAsia="Times New Roman" w:hAnsi="Söhne" w:cs="Times New Roman"/>
          <w:spacing w:val="-2"/>
          <w:sz w:val="18"/>
          <w:lang w:val="en-IE"/>
        </w:rPr>
      </w:pPr>
      <w:r w:rsidRPr="00983C95">
        <w:rPr>
          <w:rFonts w:ascii="Söhne" w:eastAsia="Times New Roman" w:hAnsi="Söhne" w:cs="Times New Roman"/>
          <w:sz w:val="18"/>
          <w:lang w:val="en-IE"/>
        </w:rPr>
        <w:t>The use of Davidson’s fixative (containing 33% ethyl alcohol [95%], 22% formalin [approximately 37% formaldehyde], 11.5% glacial acetic acid and 33.5% distilled or tap water) is highly recommended for all routine histological studies of shrimp (Bell &amp; Lightner, 1988; Lightner, 1996a). To obtain the best results, dead shrimp should not be used. Only live, moribund, or compromised shrimp should be selected for fixation and histological examination. Selected shrimp are killed by injection of fixative directly into the hepatopancreas; the cuticle over the cephalothorax and abdomen just lateral to the dorsal midline is opened with fine-pointed surgical scissors to enhance fixative penetration (the abdomen may be removed and discarded), the whole shrimp (or cephalothorax) is immersed in fixative for 24 to 48 hours, and then transferred to 70% ethyl alcohol for storage. After transfer to 70% ethyl alcohol, fixed specimens may be transported by wrapping in cloth or a paper towel saturated with 70% ethyl alcohol and packed in leak-proof plasti</w:t>
      </w:r>
      <w:r w:rsidRPr="00983C95">
        <w:rPr>
          <w:rFonts w:ascii="Söhne" w:eastAsia="Times New Roman" w:hAnsi="Söhne" w:cs="Times New Roman"/>
          <w:color w:val="000000"/>
          <w:sz w:val="18"/>
          <w:lang w:val="en-IE"/>
        </w:rPr>
        <w:t>c bags.</w:t>
      </w:r>
    </w:p>
    <w:p w14:paraId="6789CBAA"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4.3.</w:t>
      </w:r>
      <w:r w:rsidRPr="00983C95">
        <w:rPr>
          <w:rFonts w:ascii="Söhne Kräftig" w:eastAsia="MS Mincho" w:hAnsi="Söhne Kräftig" w:cs="Times New Roman"/>
          <w:sz w:val="21"/>
          <w:szCs w:val="20"/>
          <w:lang w:val="da-DK" w:eastAsia="da-DK"/>
        </w:rPr>
        <w:tab/>
        <w:t>Cell culture for isolation</w:t>
      </w:r>
    </w:p>
    <w:p w14:paraId="2C57313E" w14:textId="77777777" w:rsidR="00983C95" w:rsidRPr="00983C95" w:rsidRDefault="00983C95" w:rsidP="00983C95">
      <w:pPr>
        <w:spacing w:after="240" w:line="240" w:lineRule="auto"/>
        <w:ind w:left="284"/>
        <w:jc w:val="both"/>
        <w:rPr>
          <w:rFonts w:ascii="Söhne" w:eastAsia="Times New Roman" w:hAnsi="Söhne" w:cs="Times New Roman"/>
          <w:strike/>
          <w:sz w:val="18"/>
          <w:lang w:val="en-IE"/>
        </w:rPr>
      </w:pPr>
      <w:r w:rsidRPr="00983C95">
        <w:rPr>
          <w:rFonts w:ascii="Söhne" w:eastAsia="Times New Roman" w:hAnsi="Söhne" w:cs="Times New Roman"/>
          <w:sz w:val="18"/>
          <w:lang w:val="en-IE"/>
        </w:rPr>
        <w:t xml:space="preserve">IHHNV has not been grown </w:t>
      </w:r>
      <w:r w:rsidRPr="00983C95">
        <w:rPr>
          <w:rFonts w:ascii="Söhne" w:eastAsia="Times New Roman" w:hAnsi="Söhne" w:cs="Times New Roman"/>
          <w:i/>
          <w:sz w:val="18"/>
          <w:lang w:val="en-IE"/>
        </w:rPr>
        <w:t>in vitro</w:t>
      </w:r>
      <w:r w:rsidRPr="00983C95">
        <w:rPr>
          <w:rFonts w:ascii="Söhne" w:eastAsia="Times New Roman" w:hAnsi="Söhne" w:cs="Times New Roman"/>
          <w:sz w:val="18"/>
          <w:lang w:val="en-IE"/>
        </w:rPr>
        <w:t xml:space="preserve">. No crustacean cell lines exist. </w:t>
      </w:r>
    </w:p>
    <w:p w14:paraId="2808F45D"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4.4.</w:t>
      </w:r>
      <w:r w:rsidRPr="00983C95">
        <w:rPr>
          <w:rFonts w:ascii="Söhne Kräftig" w:eastAsia="MS Mincho" w:hAnsi="Söhne Kräftig" w:cs="Times New Roman"/>
          <w:sz w:val="21"/>
          <w:szCs w:val="20"/>
          <w:lang w:val="da-DK" w:eastAsia="da-DK"/>
        </w:rPr>
        <w:tab/>
        <w:t xml:space="preserve">Nucleic acid amplification </w:t>
      </w:r>
    </w:p>
    <w:p w14:paraId="7A934948" w14:textId="77777777" w:rsidR="00983C95" w:rsidRPr="00983C95" w:rsidRDefault="00983C95" w:rsidP="00983C95">
      <w:pPr>
        <w:spacing w:after="240" w:line="240" w:lineRule="auto"/>
        <w:ind w:left="284"/>
        <w:jc w:val="both"/>
        <w:rPr>
          <w:rFonts w:ascii="Söhne" w:eastAsia="Times New Roman" w:hAnsi="Söhne" w:cs="Times New Roman"/>
          <w:sz w:val="18"/>
          <w:u w:val="double"/>
          <w:lang w:val="en-IE"/>
        </w:rPr>
      </w:pPr>
      <w:r w:rsidRPr="00983C95">
        <w:rPr>
          <w:rFonts w:ascii="Söhne" w:eastAsia="Times New Roman" w:hAnsi="Söhne" w:cs="Times New Roman"/>
          <w:sz w:val="18"/>
          <w:u w:val="double"/>
          <w:lang w:val="en-IE"/>
        </w:rPr>
        <w:t xml:space="preserve">PCR assays should always be run with the controls specified in Section 5.5 </w:t>
      </w:r>
      <w:r w:rsidRPr="00983C95">
        <w:rPr>
          <w:rFonts w:ascii="Söhne" w:eastAsia="Times New Roman" w:hAnsi="Söhne" w:cs="Times New Roman"/>
          <w:i/>
          <w:iCs/>
          <w:sz w:val="18"/>
          <w:u w:val="double"/>
          <w:lang w:val="en-IE"/>
        </w:rPr>
        <w:t>Use of molecular and antibody-based techniques for confirmatory testing and diagnosis</w:t>
      </w:r>
      <w:r w:rsidRPr="00983C95">
        <w:rPr>
          <w:rFonts w:ascii="Söhne" w:eastAsia="Times New Roman" w:hAnsi="Söhne" w:cs="Times New Roman"/>
          <w:sz w:val="18"/>
          <w:u w:val="double"/>
          <w:lang w:val="en-IE"/>
        </w:rPr>
        <w:t xml:space="preserve"> of Chapter 2.2.0 </w:t>
      </w:r>
      <w:r w:rsidRPr="00983C95">
        <w:rPr>
          <w:rFonts w:ascii="Söhne" w:eastAsia="Times New Roman" w:hAnsi="Söhne" w:cs="Times New Roman"/>
          <w:i/>
          <w:iCs/>
          <w:sz w:val="18"/>
          <w:u w:val="double"/>
          <w:lang w:val="en-IE"/>
        </w:rPr>
        <w:t>General information</w:t>
      </w:r>
      <w:r w:rsidRPr="00983C95">
        <w:rPr>
          <w:rFonts w:ascii="Söhne" w:eastAsia="Times New Roman" w:hAnsi="Söhne" w:cs="Times New Roman"/>
          <w:sz w:val="18"/>
          <w:u w:val="double"/>
          <w:lang w:val="en-IE"/>
        </w:rPr>
        <w:t xml:space="preserve"> (diseases of crustaceans). Each sample should be tested in duplicate. </w:t>
      </w:r>
    </w:p>
    <w:p w14:paraId="7F6F4384" w14:textId="77777777" w:rsidR="00983C95" w:rsidRPr="00983C95" w:rsidRDefault="00983C95" w:rsidP="00983C95">
      <w:pPr>
        <w:spacing w:after="120" w:line="240" w:lineRule="auto"/>
        <w:ind w:left="284"/>
        <w:jc w:val="both"/>
        <w:rPr>
          <w:rFonts w:ascii="Söhne" w:eastAsia="Calibri" w:hAnsi="Söhne" w:cs="Times New Roman"/>
          <w:i/>
          <w:iCs/>
          <w:sz w:val="18"/>
          <w:u w:val="double"/>
          <w:lang w:val="en-IE"/>
        </w:rPr>
      </w:pPr>
      <w:r w:rsidRPr="00983C95">
        <w:rPr>
          <w:rFonts w:ascii="Söhne" w:eastAsia="Calibri" w:hAnsi="Söhne" w:cs="Times New Roman"/>
          <w:i/>
          <w:iCs/>
          <w:sz w:val="18"/>
          <w:u w:val="double"/>
          <w:lang w:val="en-IE"/>
        </w:rPr>
        <w:t>Extraction of nucleic acids</w:t>
      </w:r>
    </w:p>
    <w:p w14:paraId="6A7E229A" w14:textId="77777777" w:rsidR="00983C95" w:rsidRPr="00983C95" w:rsidRDefault="00983C95" w:rsidP="00983C95">
      <w:pPr>
        <w:spacing w:after="240" w:line="240" w:lineRule="auto"/>
        <w:ind w:left="284"/>
        <w:jc w:val="both"/>
        <w:rPr>
          <w:rFonts w:ascii="Söhne" w:eastAsia="Calibri" w:hAnsi="Söhne" w:cs="Times New Roman"/>
          <w:sz w:val="18"/>
          <w:szCs w:val="18"/>
          <w:u w:val="double"/>
          <w:lang w:val="en-IE"/>
        </w:rPr>
      </w:pPr>
      <w:r w:rsidRPr="00983C95">
        <w:rPr>
          <w:rFonts w:ascii="Söhne" w:eastAsia="Calibri" w:hAnsi="Söhne" w:cs="Times New Roman"/>
          <w:strike/>
          <w:sz w:val="18"/>
          <w:highlight w:val="yellow"/>
          <w:lang w:val="en-IE"/>
        </w:rPr>
        <w:t>Numerous</w:t>
      </w:r>
      <w:r w:rsidRPr="00983C95">
        <w:rPr>
          <w:rFonts w:ascii="Söhne" w:eastAsia="Calibri" w:hAnsi="Söhne" w:cs="Times New Roman"/>
          <w:strike/>
          <w:sz w:val="18"/>
          <w:lang w:val="en-IE"/>
        </w:rPr>
        <w:t xml:space="preserve"> </w:t>
      </w:r>
      <w:r w:rsidRPr="00983C95">
        <w:rPr>
          <w:rFonts w:ascii="Söhne" w:eastAsia="Calibri" w:hAnsi="Söhne" w:cs="Times New Roman"/>
          <w:sz w:val="18"/>
          <w:u w:val="double"/>
          <w:lang w:val="en-IE"/>
        </w:rPr>
        <w:t xml:space="preserve">different kits and procedures can be used for nucleic acid extraction. The quality and concentration of the extracted nucleic acid </w:t>
      </w:r>
      <w:r w:rsidRPr="00983C95">
        <w:rPr>
          <w:rFonts w:ascii="Söhne" w:eastAsia="Calibri" w:hAnsi="Söhne" w:cs="Times New Roman"/>
          <w:sz w:val="18"/>
          <w:highlight w:val="yellow"/>
          <w:u w:val="double"/>
          <w:lang w:val="en-IE"/>
        </w:rPr>
        <w:t xml:space="preserve">is important and can </w:t>
      </w:r>
      <w:r w:rsidRPr="00983C95">
        <w:rPr>
          <w:rFonts w:ascii="Söhne" w:eastAsia="Calibri" w:hAnsi="Söhne" w:cs="Times New Roman"/>
          <w:strike/>
          <w:sz w:val="18"/>
          <w:highlight w:val="yellow"/>
          <w:lang w:val="en-IE"/>
        </w:rPr>
        <w:t>should</w:t>
      </w:r>
      <w:r w:rsidRPr="00983C95">
        <w:rPr>
          <w:rFonts w:ascii="Söhne" w:eastAsia="Calibri" w:hAnsi="Söhne" w:cs="Times New Roman"/>
          <w:strike/>
          <w:sz w:val="18"/>
          <w:lang w:val="en-IE"/>
        </w:rPr>
        <w:t xml:space="preserve"> </w:t>
      </w:r>
      <w:r w:rsidRPr="00983C95">
        <w:rPr>
          <w:rFonts w:ascii="Söhne" w:eastAsia="Calibri" w:hAnsi="Söhne" w:cs="Times New Roman"/>
          <w:sz w:val="18"/>
          <w:u w:val="double"/>
          <w:lang w:val="en-IE"/>
        </w:rPr>
        <w:t xml:space="preserve">be checked using </w:t>
      </w:r>
      <w:r w:rsidRPr="00983C95">
        <w:rPr>
          <w:rFonts w:ascii="Söhne" w:eastAsia="Calibri" w:hAnsi="Söhne"/>
          <w:sz w:val="18"/>
          <w:szCs w:val="18"/>
          <w:highlight w:val="yellow"/>
          <w:u w:val="double"/>
          <w:lang w:val="en-US"/>
        </w:rPr>
        <w:t>a suitable method as appropriate to the circumstances</w:t>
      </w:r>
      <w:r w:rsidRPr="00983C95">
        <w:rPr>
          <w:rFonts w:ascii="Söhne" w:eastAsia="Calibri" w:hAnsi="Söhne" w:cs="Times New Roman"/>
          <w:strike/>
          <w:sz w:val="18"/>
          <w:szCs w:val="18"/>
          <w:highlight w:val="yellow"/>
          <w:lang w:val="en-IE"/>
        </w:rPr>
        <w:t xml:space="preserve"> optical density or running a gel</w:t>
      </w:r>
      <w:r w:rsidRPr="00983C95">
        <w:rPr>
          <w:rFonts w:ascii="Söhne" w:eastAsia="Calibri" w:hAnsi="Söhne" w:cs="Times New Roman"/>
          <w:sz w:val="18"/>
          <w:szCs w:val="18"/>
          <w:u w:val="double"/>
          <w:lang w:val="en-IE"/>
        </w:rPr>
        <w:t xml:space="preserve">. </w:t>
      </w:r>
    </w:p>
    <w:p w14:paraId="04024D55" w14:textId="77777777" w:rsidR="00983C95" w:rsidRPr="00983C95" w:rsidRDefault="00983C95" w:rsidP="00983C95">
      <w:pPr>
        <w:spacing w:after="240" w:line="240" w:lineRule="auto"/>
        <w:ind w:left="284"/>
        <w:jc w:val="both"/>
        <w:rPr>
          <w:rFonts w:ascii="Söhne" w:eastAsia="Times New Roman" w:hAnsi="Söhne" w:cs="Times New Roman"/>
          <w:i/>
          <w:iCs/>
          <w:sz w:val="18"/>
          <w:lang w:val="en-IE"/>
        </w:rPr>
      </w:pPr>
      <w:r w:rsidRPr="00983C95">
        <w:rPr>
          <w:rFonts w:ascii="Söhne" w:eastAsia="Times New Roman" w:hAnsi="Söhne" w:cs="Times New Roman"/>
          <w:sz w:val="18"/>
          <w:lang w:val="en-IE"/>
        </w:rPr>
        <w:t xml:space="preserve">There are multiple </w:t>
      </w:r>
      <w:r w:rsidRPr="00983C95">
        <w:rPr>
          <w:rFonts w:ascii="Söhne" w:eastAsia="Times New Roman" w:hAnsi="Söhne" w:cs="Times New Roman"/>
          <w:strike/>
          <w:sz w:val="18"/>
          <w:lang w:val="en-IE"/>
        </w:rPr>
        <w:t xml:space="preserve">geographical </w:t>
      </w:r>
      <w:r w:rsidRPr="00983C95">
        <w:rPr>
          <w:rFonts w:ascii="Söhne" w:eastAsia="Times New Roman" w:hAnsi="Söhne" w:cs="Times New Roman"/>
          <w:sz w:val="18"/>
          <w:lang w:val="en-IE"/>
        </w:rPr>
        <w:t xml:space="preserve">variants of IHHNV, some of which are not detected by </w:t>
      </w:r>
      <w:r w:rsidRPr="00983C95">
        <w:rPr>
          <w:rFonts w:ascii="Söhne" w:eastAsia="Times New Roman" w:hAnsi="Söhne" w:cs="Times New Roman"/>
          <w:strike/>
          <w:sz w:val="18"/>
          <w:lang w:val="en-IE"/>
        </w:rPr>
        <w:t xml:space="preserve">all of the </w:t>
      </w:r>
      <w:r w:rsidRPr="00983C95">
        <w:rPr>
          <w:rFonts w:ascii="Söhne" w:eastAsia="Times New Roman" w:hAnsi="Söhne" w:cs="Times New Roman"/>
          <w:sz w:val="18"/>
          <w:u w:val="double"/>
          <w:lang w:val="en-IE"/>
        </w:rPr>
        <w:t>some</w:t>
      </w:r>
      <w:r w:rsidRPr="00983C95">
        <w:rPr>
          <w:rFonts w:ascii="Söhne" w:eastAsia="Times New Roman" w:hAnsi="Söhne" w:cs="Times New Roman"/>
          <w:sz w:val="18"/>
          <w:lang w:val="en-IE"/>
        </w:rPr>
        <w:t xml:space="preserve"> available methods. Two primer sets, 392F/R and 389F/R, are the most suitable for detecting all the known genetic variants of IHHNV (</w:t>
      </w:r>
      <w:r w:rsidRPr="00983C95">
        <w:rPr>
          <w:rFonts w:ascii="Söhne" w:eastAsia="Times New Roman" w:hAnsi="Söhne" w:cs="Times New Roman"/>
          <w:sz w:val="18"/>
          <w:lang w:val="en-GB"/>
        </w:rPr>
        <w:t xml:space="preserve">Tang </w:t>
      </w:r>
      <w:r w:rsidRPr="00983C95">
        <w:rPr>
          <w:rFonts w:ascii="Söhne" w:eastAsia="Times New Roman" w:hAnsi="Söhne" w:cs="Times New Roman"/>
          <w:i/>
          <w:sz w:val="18"/>
          <w:lang w:val="en-GB"/>
        </w:rPr>
        <w:t>et al</w:t>
      </w:r>
      <w:r w:rsidRPr="00983C95">
        <w:rPr>
          <w:rFonts w:ascii="Söhne" w:eastAsia="Times New Roman" w:hAnsi="Söhne" w:cs="Times New Roman"/>
          <w:sz w:val="18"/>
          <w:lang w:val="en-GB"/>
        </w:rPr>
        <w:t>., 2000; 2007</w:t>
      </w:r>
      <w:r w:rsidRPr="00983C95">
        <w:rPr>
          <w:rFonts w:ascii="Söhne" w:eastAsia="Times New Roman" w:hAnsi="Söhne" w:cs="Times New Roman"/>
          <w:sz w:val="18"/>
          <w:lang w:val="en-IE"/>
        </w:rPr>
        <w:t xml:space="preserve">). However, these tests also detect non-infectious endogenous viral elements (EVE) within the </w:t>
      </w:r>
      <w:r w:rsidRPr="00983C95">
        <w:rPr>
          <w:rFonts w:ascii="Söhne" w:eastAsia="Times New Roman" w:hAnsi="Söhne" w:cs="Times New Roman"/>
          <w:i/>
          <w:iCs/>
          <w:sz w:val="18"/>
          <w:lang w:val="en-IE"/>
        </w:rPr>
        <w:t>P. monodon</w:t>
      </w:r>
      <w:r w:rsidRPr="00983C95">
        <w:rPr>
          <w:rFonts w:ascii="Söhne" w:eastAsia="Times New Roman" w:hAnsi="Söhne" w:cs="Times New Roman"/>
          <w:sz w:val="18"/>
          <w:lang w:val="en-IE"/>
        </w:rPr>
        <w:t xml:space="preserve"> genome (previously known as types 3A and 3B), which are inserted into the genome of certain stocks of </w:t>
      </w:r>
      <w:r w:rsidRPr="00983C95">
        <w:rPr>
          <w:rFonts w:ascii="Söhne" w:eastAsia="Times New Roman" w:hAnsi="Söhne" w:cs="Times New Roman"/>
          <w:i/>
          <w:sz w:val="18"/>
          <w:lang w:val="en-IE"/>
        </w:rPr>
        <w:t xml:space="preserve">P. monodon </w:t>
      </w:r>
      <w:r w:rsidRPr="00983C95">
        <w:rPr>
          <w:rFonts w:ascii="Söhne" w:eastAsia="Times New Roman" w:hAnsi="Söhne" w:cs="Times New Roman"/>
          <w:sz w:val="18"/>
          <w:lang w:val="en-IE"/>
        </w:rPr>
        <w:t>from the western Indo-Pacific, East Africa, Australia and India (</w:t>
      </w:r>
      <w:r w:rsidRPr="00983C95">
        <w:rPr>
          <w:rFonts w:ascii="Söhne" w:eastAsia="Times New Roman" w:hAnsi="Söhne" w:cs="Times New Roman"/>
          <w:sz w:val="18"/>
          <w:lang w:val="en-GB"/>
        </w:rPr>
        <w:t xml:space="preserve">Saksmerprome </w:t>
      </w:r>
      <w:r w:rsidRPr="00983C95">
        <w:rPr>
          <w:rFonts w:ascii="Söhne" w:eastAsia="Times New Roman" w:hAnsi="Söhne" w:cs="Times New Roman"/>
          <w:i/>
          <w:sz w:val="18"/>
          <w:lang w:val="en-GB"/>
        </w:rPr>
        <w:t>et al.,</w:t>
      </w:r>
      <w:r w:rsidRPr="00983C95">
        <w:rPr>
          <w:rFonts w:ascii="Söhne" w:eastAsia="Times New Roman" w:hAnsi="Söhne" w:cs="Times New Roman"/>
          <w:sz w:val="18"/>
          <w:lang w:val="en-GB"/>
        </w:rPr>
        <w:t xml:space="preserve"> 2011; </w:t>
      </w:r>
      <w:r w:rsidRPr="00983C95">
        <w:rPr>
          <w:rFonts w:ascii="Söhne" w:eastAsia="Times New Roman" w:hAnsi="Söhne" w:cs="Times New Roman"/>
          <w:sz w:val="18"/>
          <w:u w:val="double"/>
          <w:lang w:val="en-GB"/>
        </w:rPr>
        <w:t xml:space="preserve">Taengchaiyaphum </w:t>
      </w:r>
      <w:r w:rsidRPr="00983C95">
        <w:rPr>
          <w:rFonts w:ascii="Söhne" w:eastAsia="Times New Roman" w:hAnsi="Söhne" w:cs="Times New Roman"/>
          <w:i/>
          <w:iCs/>
          <w:sz w:val="18"/>
          <w:u w:val="double"/>
          <w:lang w:val="en-GB"/>
        </w:rPr>
        <w:t>et al.,</w:t>
      </w:r>
      <w:r w:rsidRPr="00983C95">
        <w:rPr>
          <w:rFonts w:ascii="Söhne" w:eastAsia="Times New Roman" w:hAnsi="Söhne" w:cs="Times New Roman"/>
          <w:sz w:val="18"/>
          <w:u w:val="double"/>
          <w:lang w:val="en-GB"/>
        </w:rPr>
        <w:t xml:space="preserve"> 2022;</w:t>
      </w:r>
      <w:r w:rsidRPr="00983C95">
        <w:rPr>
          <w:rFonts w:ascii="Söhne" w:eastAsia="Times New Roman" w:hAnsi="Söhne" w:cs="Times New Roman"/>
          <w:sz w:val="18"/>
          <w:lang w:val="en-GB"/>
        </w:rPr>
        <w:t xml:space="preserve"> Tang &amp; Lightner, 2006; Tang</w:t>
      </w:r>
      <w:r w:rsidRPr="00983C95">
        <w:rPr>
          <w:rFonts w:ascii="Söhne" w:eastAsia="Times New Roman" w:hAnsi="Söhne" w:cs="Times New Roman"/>
          <w:i/>
          <w:iCs/>
          <w:sz w:val="18"/>
          <w:lang w:val="en-GB"/>
        </w:rPr>
        <w:t xml:space="preserve"> et al.,</w:t>
      </w:r>
      <w:r w:rsidRPr="00983C95">
        <w:rPr>
          <w:rFonts w:ascii="Söhne" w:eastAsia="Times New Roman" w:hAnsi="Söhne" w:cs="Times New Roman"/>
          <w:sz w:val="18"/>
          <w:lang w:val="en-GB"/>
        </w:rPr>
        <w:t xml:space="preserve"> 2007</w:t>
      </w:r>
      <w:r w:rsidRPr="00983C95">
        <w:rPr>
          <w:rFonts w:ascii="Söhne" w:eastAsia="Times New Roman" w:hAnsi="Söhne" w:cs="Times New Roman"/>
          <w:sz w:val="18"/>
          <w:lang w:val="en-IE"/>
        </w:rPr>
        <w:t xml:space="preserve">). As these PCR methods may result in positive test results in uninfected </w:t>
      </w:r>
      <w:r w:rsidRPr="00983C95">
        <w:rPr>
          <w:rFonts w:ascii="Söhne" w:eastAsia="Times New Roman" w:hAnsi="Söhne" w:cs="Times New Roman"/>
          <w:i/>
          <w:iCs/>
          <w:sz w:val="18"/>
          <w:lang w:val="en-IE"/>
        </w:rPr>
        <w:t xml:space="preserve">P. monodon, </w:t>
      </w:r>
      <w:r w:rsidRPr="00983C95">
        <w:rPr>
          <w:rFonts w:ascii="Söhne" w:eastAsia="Times New Roman" w:hAnsi="Söhne" w:cs="Times New Roman"/>
          <w:sz w:val="18"/>
          <w:lang w:val="en-IE"/>
        </w:rPr>
        <w:t>positive results should be confirmed by a method that detects IHHNV but not the IHHNV-related EVEs.</w:t>
      </w:r>
      <w:r w:rsidRPr="00983C95">
        <w:rPr>
          <w:rFonts w:ascii="Söhne" w:eastAsia="Times New Roman" w:hAnsi="Söhne" w:cs="Times New Roman"/>
          <w:i/>
          <w:iCs/>
          <w:sz w:val="18"/>
          <w:lang w:val="en-IE"/>
        </w:rPr>
        <w:t xml:space="preserve"> </w:t>
      </w:r>
    </w:p>
    <w:p w14:paraId="675D721F" w14:textId="77777777" w:rsidR="00983C95" w:rsidRPr="00983C95" w:rsidRDefault="00983C95" w:rsidP="00983C95">
      <w:pPr>
        <w:spacing w:after="240" w:line="240" w:lineRule="auto"/>
        <w:ind w:left="284"/>
        <w:jc w:val="both"/>
        <w:rPr>
          <w:rFonts w:ascii="Ottawa" w:eastAsia="Times New Roman" w:hAnsi="Ottawa" w:cs="Times New Roman"/>
          <w:b/>
          <w:bCs/>
          <w:sz w:val="20"/>
          <w:lang w:val="en-IE" w:eastAsia="fr-FR"/>
        </w:rPr>
      </w:pPr>
      <w:r w:rsidRPr="00983C95">
        <w:rPr>
          <w:rFonts w:ascii="Söhne" w:eastAsia="Times New Roman" w:hAnsi="Söhne" w:cs="Times New Roman"/>
          <w:sz w:val="18"/>
          <w:lang w:val="en-IE"/>
        </w:rPr>
        <w:lastRenderedPageBreak/>
        <w:t xml:space="preserve">PCR primers have been developed that can detect the IHHNV sequence but do not amplify IHHNV-related EVEs present in the </w:t>
      </w:r>
      <w:r w:rsidRPr="00983C95">
        <w:rPr>
          <w:rFonts w:ascii="Söhne" w:eastAsia="Times New Roman" w:hAnsi="Söhne" w:cs="Times New Roman"/>
          <w:i/>
          <w:sz w:val="18"/>
          <w:lang w:val="en-IE"/>
        </w:rPr>
        <w:t>P. monodon</w:t>
      </w:r>
      <w:r w:rsidRPr="00983C95">
        <w:rPr>
          <w:rFonts w:ascii="Söhne" w:eastAsia="Times New Roman" w:hAnsi="Söhne" w:cs="Times New Roman"/>
          <w:sz w:val="18"/>
          <w:lang w:val="en-IE"/>
        </w:rPr>
        <w:t xml:space="preserve"> stocks from Africa, Australia (Tang </w:t>
      </w:r>
      <w:r w:rsidRPr="00983C95">
        <w:rPr>
          <w:rFonts w:ascii="Söhne" w:eastAsia="Times New Roman" w:hAnsi="Söhne" w:cs="Times New Roman"/>
          <w:i/>
          <w:sz w:val="18"/>
          <w:lang w:val="en-IE"/>
        </w:rPr>
        <w:t>et al.,</w:t>
      </w:r>
      <w:r w:rsidRPr="00983C95">
        <w:rPr>
          <w:rFonts w:ascii="Söhne" w:eastAsia="Times New Roman" w:hAnsi="Söhne" w:cs="Times New Roman"/>
          <w:sz w:val="18"/>
          <w:lang w:val="en-IE"/>
        </w:rPr>
        <w:t xml:space="preserve"> 2007), or Thailand (Saksmerprome </w:t>
      </w:r>
      <w:r w:rsidRPr="00983C95">
        <w:rPr>
          <w:rFonts w:ascii="Söhne" w:eastAsia="Times New Roman" w:hAnsi="Söhne" w:cs="Times New Roman"/>
          <w:i/>
          <w:sz w:val="18"/>
          <w:lang w:val="en-IE"/>
        </w:rPr>
        <w:t>et al.,</w:t>
      </w:r>
      <w:r w:rsidRPr="00983C95">
        <w:rPr>
          <w:rFonts w:ascii="Söhne" w:eastAsia="Times New Roman" w:hAnsi="Söhne" w:cs="Times New Roman"/>
          <w:sz w:val="18"/>
          <w:lang w:val="en-IE"/>
        </w:rPr>
        <w:t xml:space="preserve"> 2011). Primer set 309F/R amplifies only a genomic segment of IHHNV types 1 and 2</w:t>
      </w:r>
      <w:r w:rsidRPr="00983C95">
        <w:rPr>
          <w:rFonts w:ascii="Söhne" w:eastAsia="Times New Roman" w:hAnsi="Söhne" w:cs="Times New Roman"/>
          <w:strike/>
          <w:sz w:val="18"/>
          <w:lang w:val="en-IE"/>
        </w:rPr>
        <w:t xml:space="preserve"> (the infectious forms of IHHNV)</w:t>
      </w:r>
      <w:r w:rsidRPr="00983C95">
        <w:rPr>
          <w:rFonts w:ascii="Söhne" w:eastAsia="Times New Roman" w:hAnsi="Söhne" w:cs="Times New Roman"/>
          <w:sz w:val="18"/>
          <w:lang w:val="en-IE"/>
        </w:rPr>
        <w:t xml:space="preserve">, but not the non-infectious EVEs within the </w:t>
      </w:r>
      <w:r w:rsidRPr="00983C95">
        <w:rPr>
          <w:rFonts w:ascii="Söhne" w:eastAsia="Times New Roman" w:hAnsi="Söhne" w:cs="Times New Roman"/>
          <w:i/>
          <w:sz w:val="18"/>
          <w:lang w:val="en-IE"/>
        </w:rPr>
        <w:t>P. monodon</w:t>
      </w:r>
      <w:r w:rsidRPr="00983C95">
        <w:rPr>
          <w:rFonts w:ascii="Söhne" w:eastAsia="Times New Roman" w:hAnsi="Söhne" w:cs="Times New Roman"/>
          <w:sz w:val="18"/>
          <w:lang w:val="en-IE"/>
        </w:rPr>
        <w:t xml:space="preserve"> genome (</w:t>
      </w:r>
      <w:r w:rsidRPr="00983C95">
        <w:rPr>
          <w:rFonts w:ascii="Söhne" w:eastAsia="Times New Roman" w:hAnsi="Söhne" w:cs="Times New Roman"/>
          <w:sz w:val="18"/>
          <w:lang w:val="en-GB"/>
        </w:rPr>
        <w:t>Tang &amp; Lightner, 2006; Tang</w:t>
      </w:r>
      <w:r w:rsidRPr="00983C95">
        <w:rPr>
          <w:rFonts w:ascii="Söhne" w:eastAsia="Times New Roman" w:hAnsi="Söhne" w:cs="Times New Roman"/>
          <w:i/>
          <w:iCs/>
          <w:sz w:val="18"/>
          <w:lang w:val="en-GB"/>
        </w:rPr>
        <w:t xml:space="preserve"> et al.,</w:t>
      </w:r>
      <w:r w:rsidRPr="00983C95">
        <w:rPr>
          <w:rFonts w:ascii="Söhne" w:eastAsia="Times New Roman" w:hAnsi="Söhne" w:cs="Times New Roman"/>
          <w:sz w:val="18"/>
          <w:lang w:val="en-GB"/>
        </w:rPr>
        <w:t xml:space="preserve"> 2007</w:t>
      </w:r>
      <w:r w:rsidRPr="00983C95">
        <w:rPr>
          <w:rFonts w:ascii="Söhne" w:eastAsia="Times New Roman" w:hAnsi="Söhne" w:cs="Times New Roman"/>
          <w:sz w:val="18"/>
          <w:lang w:val="en-IE"/>
        </w:rPr>
        <w:t xml:space="preserve">). </w:t>
      </w:r>
      <w:r w:rsidRPr="00983C95">
        <w:rPr>
          <w:rFonts w:ascii="Söhne" w:eastAsia="Times New Roman" w:hAnsi="Söhne" w:cs="Times New Roman"/>
          <w:strike/>
          <w:sz w:val="18"/>
          <w:lang w:val="en-IE"/>
        </w:rPr>
        <w:t xml:space="preserve">Primer set MG831F/R reacts only with non-infectious EVEs within the </w:t>
      </w:r>
      <w:r w:rsidRPr="00983C95">
        <w:rPr>
          <w:rFonts w:ascii="Söhne" w:eastAsia="Times New Roman" w:hAnsi="Söhne" w:cs="Times New Roman"/>
          <w:i/>
          <w:strike/>
          <w:sz w:val="18"/>
          <w:lang w:val="en-IE"/>
        </w:rPr>
        <w:t>P. monodon</w:t>
      </w:r>
      <w:r w:rsidRPr="00983C95">
        <w:rPr>
          <w:rFonts w:ascii="Söhne" w:eastAsia="Times New Roman" w:hAnsi="Söhne" w:cs="Times New Roman"/>
          <w:strike/>
          <w:sz w:val="18"/>
          <w:lang w:val="en-IE"/>
        </w:rPr>
        <w:t xml:space="preserve"> genome (</w:t>
      </w:r>
      <w:r w:rsidRPr="00983C95">
        <w:rPr>
          <w:rFonts w:ascii="Söhne" w:eastAsia="Times New Roman" w:hAnsi="Söhne" w:cs="Times New Roman"/>
          <w:strike/>
          <w:sz w:val="18"/>
          <w:lang w:val="en-GB"/>
        </w:rPr>
        <w:t>Tang</w:t>
      </w:r>
      <w:r w:rsidRPr="00983C95">
        <w:rPr>
          <w:rFonts w:ascii="Söhne" w:eastAsia="Times New Roman" w:hAnsi="Söhne" w:cs="Times New Roman"/>
          <w:i/>
          <w:iCs/>
          <w:strike/>
          <w:sz w:val="18"/>
          <w:lang w:val="en-GB"/>
        </w:rPr>
        <w:t xml:space="preserve"> et al.,</w:t>
      </w:r>
      <w:r w:rsidRPr="00983C95">
        <w:rPr>
          <w:rFonts w:ascii="Söhne" w:eastAsia="Times New Roman" w:hAnsi="Söhne" w:cs="Times New Roman"/>
          <w:strike/>
          <w:sz w:val="18"/>
          <w:lang w:val="en-GB"/>
        </w:rPr>
        <w:t xml:space="preserve"> 2007</w:t>
      </w:r>
      <w:r w:rsidRPr="00983C95">
        <w:rPr>
          <w:rFonts w:ascii="Söhne" w:eastAsia="Times New Roman" w:hAnsi="Söhne" w:cs="Times New Roman"/>
          <w:strike/>
          <w:sz w:val="18"/>
          <w:lang w:val="en-IE"/>
        </w:rPr>
        <w:t xml:space="preserve">). </w:t>
      </w:r>
      <w:r w:rsidRPr="00983C95">
        <w:rPr>
          <w:rFonts w:ascii="Söhne" w:eastAsia="Times New Roman" w:hAnsi="Söhne" w:cs="Times New Roman"/>
          <w:sz w:val="18"/>
          <w:lang w:val="en-IE"/>
        </w:rPr>
        <w:t xml:space="preserve">Hence, confirmation of unexpected positive or negative PCR results for IHHNV with a second primer set, or use of another diagnostic method (i.e. histology, bioassay, ISH) is highly recommended. </w:t>
      </w:r>
    </w:p>
    <w:p w14:paraId="06EFEA9A"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4.4.1.</w:t>
      </w:r>
      <w:r w:rsidRPr="00983C95">
        <w:rPr>
          <w:rFonts w:ascii="Söhne Kräftig" w:eastAsia="Times New Roman" w:hAnsi="Söhne Kräftig" w:cs="Times New Roman"/>
          <w:bCs/>
          <w:sz w:val="20"/>
          <w:lang w:val="en-GB" w:eastAsia="fr-FR"/>
        </w:rPr>
        <w:tab/>
        <w:t xml:space="preserve">Real-time PCR </w:t>
      </w:r>
    </w:p>
    <w:p w14:paraId="3D07D988" w14:textId="77777777" w:rsidR="00983C95" w:rsidRPr="00983C95" w:rsidRDefault="00983C95" w:rsidP="00983C95">
      <w:pPr>
        <w:spacing w:after="240" w:line="240" w:lineRule="auto"/>
        <w:ind w:left="851"/>
        <w:jc w:val="both"/>
        <w:rPr>
          <w:rFonts w:ascii="Söhne" w:eastAsia="Times New Roman" w:hAnsi="Söhne" w:cs="Times New Roman"/>
          <w:bCs/>
          <w:strike/>
          <w:sz w:val="18"/>
          <w:lang w:val="en-IE"/>
        </w:rPr>
      </w:pPr>
      <w:r w:rsidRPr="00983C95">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71310A19" w14:textId="77777777" w:rsidR="00983C95" w:rsidRPr="00983C95" w:rsidRDefault="00983C95" w:rsidP="00983C95">
      <w:pPr>
        <w:spacing w:after="240" w:line="240" w:lineRule="auto"/>
        <w:ind w:left="851"/>
        <w:jc w:val="both"/>
        <w:rPr>
          <w:rFonts w:ascii="Söhne" w:eastAsia="Times New Roman" w:hAnsi="Söhne" w:cs="Times New Roman"/>
          <w:bCs/>
          <w:sz w:val="18"/>
          <w:szCs w:val="18"/>
          <w:lang w:val="en-IE"/>
        </w:rPr>
      </w:pPr>
      <w:r w:rsidRPr="00983C95">
        <w:rPr>
          <w:rFonts w:ascii="Söhne" w:eastAsia="Times New Roman" w:hAnsi="Söhne" w:cs="Times New Roman"/>
          <w:bCs/>
          <w:sz w:val="18"/>
          <w:szCs w:val="18"/>
          <w:lang w:val="en-IE"/>
        </w:rPr>
        <w:t xml:space="preserve">Real-time PCR methods have been developed for the detection of IHHNV (Dhar </w:t>
      </w:r>
      <w:r w:rsidRPr="00983C95">
        <w:rPr>
          <w:rFonts w:ascii="Söhne" w:eastAsia="Times New Roman" w:hAnsi="Söhne" w:cs="Times New Roman"/>
          <w:bCs/>
          <w:i/>
          <w:iCs/>
          <w:sz w:val="18"/>
          <w:szCs w:val="18"/>
          <w:lang w:val="en-IE"/>
        </w:rPr>
        <w:t>et al.,</w:t>
      </w:r>
      <w:r w:rsidRPr="00983C95">
        <w:rPr>
          <w:rFonts w:ascii="Söhne" w:eastAsia="Times New Roman" w:hAnsi="Söhne" w:cs="Times New Roman"/>
          <w:bCs/>
          <w:sz w:val="18"/>
          <w:szCs w:val="18"/>
          <w:lang w:val="en-IE"/>
        </w:rPr>
        <w:t xml:space="preserve"> 2001; Tang &amp; Lightner, 2001). A </w:t>
      </w:r>
      <w:r w:rsidRPr="00983C95">
        <w:rPr>
          <w:rFonts w:ascii="Söhne" w:eastAsia="Times New Roman" w:hAnsi="Söhne" w:cs="Times New Roman"/>
          <w:bCs/>
          <w:strike/>
          <w:sz w:val="18"/>
          <w:szCs w:val="18"/>
          <w:lang w:val="en-IE"/>
        </w:rPr>
        <w:t xml:space="preserve">highly sensitive </w:t>
      </w:r>
      <w:r w:rsidRPr="00983C95">
        <w:rPr>
          <w:rFonts w:ascii="Söhne" w:eastAsia="Times New Roman" w:hAnsi="Söhne" w:cs="Times New Roman"/>
          <w:bCs/>
          <w:sz w:val="18"/>
          <w:szCs w:val="18"/>
          <w:lang w:val="en-IE"/>
        </w:rPr>
        <w:t xml:space="preserve">SYBR Green real-time PCR targeting a segment of the IHHNV genome </w:t>
      </w:r>
      <w:r w:rsidRPr="00983C95">
        <w:rPr>
          <w:rFonts w:ascii="Söhne" w:eastAsia="Times New Roman" w:hAnsi="Söhne" w:cs="Times New Roman"/>
          <w:bCs/>
          <w:strike/>
          <w:sz w:val="18"/>
          <w:szCs w:val="18"/>
          <w:lang w:val="en-IE"/>
        </w:rPr>
        <w:t xml:space="preserve">that is </w:t>
      </w:r>
      <w:r w:rsidRPr="00983C95">
        <w:rPr>
          <w:rFonts w:ascii="Söhne" w:eastAsia="Times New Roman" w:hAnsi="Söhne" w:cs="Times New Roman"/>
          <w:bCs/>
          <w:sz w:val="18"/>
          <w:szCs w:val="18"/>
          <w:u w:val="double"/>
          <w:lang w:val="en-IE"/>
        </w:rPr>
        <w:t>considered</w:t>
      </w:r>
      <w:r w:rsidRPr="00983C95">
        <w:rPr>
          <w:rFonts w:ascii="Söhne" w:eastAsia="Times New Roman" w:hAnsi="Söhne" w:cs="Times New Roman"/>
          <w:bCs/>
          <w:sz w:val="18"/>
          <w:szCs w:val="18"/>
          <w:lang w:val="en-IE"/>
        </w:rPr>
        <w:t xml:space="preserve"> less susceptible to endogenisation was developed (Encinas-Garcia </w:t>
      </w:r>
      <w:r w:rsidRPr="00983C95">
        <w:rPr>
          <w:rFonts w:ascii="Söhne" w:eastAsia="Times New Roman" w:hAnsi="Söhne" w:cs="Times New Roman"/>
          <w:bCs/>
          <w:i/>
          <w:iCs/>
          <w:sz w:val="18"/>
          <w:szCs w:val="18"/>
          <w:lang w:val="en-IE"/>
        </w:rPr>
        <w:t>et al.,</w:t>
      </w:r>
      <w:r w:rsidRPr="00983C95">
        <w:rPr>
          <w:rFonts w:ascii="Söhne" w:eastAsia="Times New Roman" w:hAnsi="Söhne" w:cs="Times New Roman"/>
          <w:bCs/>
          <w:sz w:val="18"/>
          <w:szCs w:val="18"/>
          <w:lang w:val="en-IE"/>
        </w:rPr>
        <w:t xml:space="preserve"> 2015). </w:t>
      </w:r>
      <w:r w:rsidRPr="00983C95">
        <w:rPr>
          <w:rFonts w:ascii="Söhne" w:eastAsia="Times New Roman" w:hAnsi="Söhne" w:cs="Times New Roman"/>
          <w:bCs/>
          <w:strike/>
          <w:sz w:val="18"/>
          <w:szCs w:val="18"/>
          <w:lang w:val="en-IE"/>
        </w:rPr>
        <w:t>More recently,</w:t>
      </w:r>
      <w:r w:rsidRPr="00983C95">
        <w:rPr>
          <w:rFonts w:ascii="Söhne" w:eastAsia="Times New Roman" w:hAnsi="Söhne" w:cs="Times New Roman"/>
          <w:bCs/>
          <w:sz w:val="18"/>
          <w:szCs w:val="18"/>
          <w:lang w:val="en-IE"/>
        </w:rPr>
        <w:t xml:space="preserve"> A TaqMan real-time assay </w:t>
      </w:r>
      <w:r w:rsidRPr="00983C95">
        <w:rPr>
          <w:rFonts w:ascii="Söhne" w:eastAsia="Times New Roman" w:hAnsi="Söhne" w:cs="Times New Roman"/>
          <w:bCs/>
          <w:strike/>
          <w:sz w:val="18"/>
          <w:szCs w:val="18"/>
          <w:lang w:val="en-IE"/>
        </w:rPr>
        <w:t xml:space="preserve">capable of </w:t>
      </w:r>
      <w:r w:rsidRPr="00983C95">
        <w:rPr>
          <w:rFonts w:ascii="Söhne" w:eastAsia="Times New Roman" w:hAnsi="Söhne" w:cs="Times New Roman"/>
          <w:bCs/>
          <w:sz w:val="18"/>
          <w:szCs w:val="18"/>
          <w:u w:val="double"/>
          <w:lang w:val="en-IE"/>
        </w:rPr>
        <w:t>developed to</w:t>
      </w:r>
      <w:r w:rsidRPr="00983C95">
        <w:rPr>
          <w:rFonts w:ascii="Söhne" w:eastAsia="Times New Roman" w:hAnsi="Söhne" w:cs="Times New Roman"/>
          <w:bCs/>
          <w:sz w:val="18"/>
          <w:szCs w:val="18"/>
          <w:lang w:val="en-IE"/>
        </w:rPr>
        <w:t xml:space="preserve"> differentiate </w:t>
      </w:r>
      <w:r w:rsidRPr="00983C95">
        <w:rPr>
          <w:rFonts w:ascii="Söhne" w:eastAsia="Times New Roman" w:hAnsi="Söhne" w:cs="Times New Roman"/>
          <w:bCs/>
          <w:strike/>
          <w:sz w:val="18"/>
          <w:szCs w:val="18"/>
          <w:lang w:val="en-IE"/>
        </w:rPr>
        <w:t xml:space="preserve">endogenous virus element </w:t>
      </w:r>
      <w:r w:rsidRPr="00983C95">
        <w:rPr>
          <w:rFonts w:ascii="Söhne" w:eastAsia="Times New Roman" w:hAnsi="Söhne" w:cs="Times New Roman"/>
          <w:bCs/>
          <w:sz w:val="18"/>
          <w:szCs w:val="18"/>
          <w:u w:val="double"/>
          <w:lang w:val="en-IE"/>
        </w:rPr>
        <w:t>EVEs</w:t>
      </w:r>
      <w:r w:rsidRPr="00983C95">
        <w:rPr>
          <w:rFonts w:ascii="Söhne" w:eastAsia="Times New Roman" w:hAnsi="Söhne" w:cs="Times New Roman"/>
          <w:bCs/>
          <w:sz w:val="18"/>
          <w:szCs w:val="18"/>
          <w:lang w:val="en-IE"/>
        </w:rPr>
        <w:t xml:space="preserve"> from infectious form of IHHNV in </w:t>
      </w:r>
      <w:r w:rsidRPr="00983C95">
        <w:rPr>
          <w:rFonts w:ascii="Söhne" w:eastAsia="Times New Roman" w:hAnsi="Söhne" w:cs="Times New Roman"/>
          <w:bCs/>
          <w:i/>
          <w:iCs/>
          <w:sz w:val="18"/>
          <w:szCs w:val="18"/>
          <w:lang w:val="en-IE"/>
        </w:rPr>
        <w:t xml:space="preserve">P. monodon </w:t>
      </w:r>
      <w:r w:rsidRPr="00983C95">
        <w:rPr>
          <w:rFonts w:ascii="Söhne" w:eastAsia="Times New Roman" w:hAnsi="Söhne" w:cs="Times New Roman"/>
          <w:bCs/>
          <w:sz w:val="18"/>
          <w:szCs w:val="18"/>
          <w:lang w:val="en-IE"/>
        </w:rPr>
        <w:t xml:space="preserve">has been reported (Cowley </w:t>
      </w:r>
      <w:r w:rsidRPr="00983C95">
        <w:rPr>
          <w:rFonts w:ascii="Söhne" w:eastAsia="Times New Roman" w:hAnsi="Söhne" w:cs="Times New Roman"/>
          <w:bCs/>
          <w:i/>
          <w:iCs/>
          <w:sz w:val="18"/>
          <w:szCs w:val="18"/>
          <w:lang w:val="en-IE"/>
        </w:rPr>
        <w:t>et al.,</w:t>
      </w:r>
      <w:r w:rsidRPr="00983C95">
        <w:rPr>
          <w:rFonts w:ascii="Söhne" w:eastAsia="Times New Roman" w:hAnsi="Söhne" w:cs="Times New Roman"/>
          <w:bCs/>
          <w:sz w:val="18"/>
          <w:szCs w:val="18"/>
          <w:lang w:val="en-IE"/>
        </w:rPr>
        <w:t xml:space="preserve"> 2018</w:t>
      </w:r>
      <w:r w:rsidRPr="00983C95">
        <w:rPr>
          <w:rFonts w:ascii="Söhne" w:eastAsia="Times New Roman" w:hAnsi="Söhne" w:cs="Times New Roman"/>
          <w:bCs/>
          <w:sz w:val="18"/>
          <w:szCs w:val="18"/>
          <w:u w:val="double"/>
          <w:lang w:val="en-IE"/>
        </w:rPr>
        <w:t xml:space="preserve">); however, analysis of a </w:t>
      </w:r>
      <w:r w:rsidRPr="00983C95">
        <w:rPr>
          <w:rFonts w:ascii="Söhne" w:eastAsia="Times New Roman" w:hAnsi="Söhne" w:cs="Times New Roman"/>
          <w:bCs/>
          <w:i/>
          <w:iCs/>
          <w:sz w:val="18"/>
          <w:szCs w:val="18"/>
          <w:u w:val="double"/>
          <w:lang w:val="en-IE"/>
        </w:rPr>
        <w:t>P. monodon</w:t>
      </w:r>
      <w:r w:rsidRPr="00983C95">
        <w:rPr>
          <w:rFonts w:ascii="Söhne" w:eastAsia="Times New Roman" w:hAnsi="Söhne" w:cs="Times New Roman"/>
          <w:bCs/>
          <w:sz w:val="18"/>
          <w:szCs w:val="18"/>
          <w:u w:val="double"/>
          <w:lang w:val="en-IE"/>
        </w:rPr>
        <w:t xml:space="preserve"> whole genome sequence has identified 100% primer and probe sequence matches to EVEs (</w:t>
      </w:r>
      <w:r w:rsidRPr="00983C95">
        <w:rPr>
          <w:rFonts w:ascii="Söhne" w:eastAsia="Times New Roman" w:hAnsi="Söhne" w:cs="Times New Roman"/>
          <w:bCs/>
          <w:sz w:val="18"/>
          <w:u w:val="double"/>
          <w:lang w:val="en-GB"/>
        </w:rPr>
        <w:t xml:space="preserve">Taengchaiyaphum </w:t>
      </w:r>
      <w:r w:rsidRPr="00983C95">
        <w:rPr>
          <w:rFonts w:ascii="Söhne" w:eastAsia="Times New Roman" w:hAnsi="Söhne" w:cs="Times New Roman"/>
          <w:bCs/>
          <w:i/>
          <w:iCs/>
          <w:sz w:val="18"/>
          <w:u w:val="double"/>
          <w:lang w:val="en-GB"/>
        </w:rPr>
        <w:t>et al.,</w:t>
      </w:r>
      <w:r w:rsidRPr="00983C95">
        <w:rPr>
          <w:rFonts w:ascii="Söhne" w:eastAsia="Times New Roman" w:hAnsi="Söhne" w:cs="Times New Roman"/>
          <w:bCs/>
          <w:sz w:val="18"/>
          <w:u w:val="double"/>
          <w:lang w:val="en-GB"/>
        </w:rPr>
        <w:t xml:space="preserve"> 2022)</w:t>
      </w:r>
      <w:r w:rsidRPr="00983C95">
        <w:rPr>
          <w:rFonts w:ascii="Söhne" w:eastAsia="Times New Roman" w:hAnsi="Söhne" w:cs="Times New Roman"/>
          <w:bCs/>
          <w:sz w:val="18"/>
          <w:szCs w:val="18"/>
          <w:lang w:val="en-IE"/>
        </w:rPr>
        <w:t xml:space="preserve">. The real-time PCR method </w:t>
      </w:r>
      <w:r w:rsidRPr="00983C95">
        <w:rPr>
          <w:rFonts w:ascii="Söhne" w:eastAsia="Times New Roman" w:hAnsi="Söhne" w:cs="Times New Roman"/>
          <w:bCs/>
          <w:strike/>
          <w:sz w:val="18"/>
          <w:szCs w:val="18"/>
          <w:lang w:val="en-IE"/>
        </w:rPr>
        <w:t>using TaqMan chemistry</w:t>
      </w:r>
      <w:r w:rsidRPr="00983C95">
        <w:rPr>
          <w:rFonts w:ascii="Söhne" w:eastAsia="Times New Roman" w:hAnsi="Söhne" w:cs="Times New Roman"/>
          <w:bCs/>
          <w:sz w:val="18"/>
          <w:szCs w:val="18"/>
          <w:lang w:val="en-IE"/>
        </w:rPr>
        <w:t xml:space="preserve"> described </w:t>
      </w:r>
      <w:r w:rsidRPr="00983C95">
        <w:rPr>
          <w:rFonts w:ascii="Söhne" w:eastAsia="Times New Roman" w:hAnsi="Söhne" w:cs="Times New Roman"/>
          <w:bCs/>
          <w:sz w:val="18"/>
          <w:szCs w:val="18"/>
          <w:u w:val="double"/>
          <w:lang w:val="en-IE"/>
        </w:rPr>
        <w:t>in Table 4.4.1</w:t>
      </w:r>
      <w:r w:rsidRPr="00983C95">
        <w:rPr>
          <w:rFonts w:ascii="Söhne" w:eastAsia="Times New Roman" w:hAnsi="Söhne" w:cs="Times New Roman"/>
          <w:bCs/>
          <w:sz w:val="18"/>
          <w:szCs w:val="18"/>
          <w:lang w:val="en-IE"/>
        </w:rPr>
        <w:t xml:space="preserve"> </w:t>
      </w:r>
      <w:r w:rsidRPr="00983C95">
        <w:rPr>
          <w:rFonts w:ascii="Söhne" w:eastAsia="Times New Roman" w:hAnsi="Söhne" w:cs="Times New Roman"/>
          <w:bCs/>
          <w:strike/>
          <w:sz w:val="18"/>
          <w:szCs w:val="18"/>
          <w:lang w:val="en-IE"/>
        </w:rPr>
        <w:t>below for IHHNV</w:t>
      </w:r>
      <w:r w:rsidRPr="00983C95">
        <w:rPr>
          <w:rFonts w:ascii="Söhne" w:eastAsia="Times New Roman" w:hAnsi="Söhne" w:cs="Times New Roman"/>
          <w:bCs/>
          <w:sz w:val="18"/>
          <w:szCs w:val="18"/>
          <w:lang w:val="en-IE"/>
        </w:rPr>
        <w:t xml:space="preserve"> generally follows the method used in Tang &amp; Lightner (2001).</w:t>
      </w:r>
    </w:p>
    <w:p w14:paraId="015D5D2B" w14:textId="77777777" w:rsidR="00983C95" w:rsidRPr="00983C95" w:rsidRDefault="00983C95" w:rsidP="00983C95">
      <w:pPr>
        <w:spacing w:after="120" w:line="240" w:lineRule="auto"/>
        <w:jc w:val="center"/>
        <w:rPr>
          <w:rFonts w:ascii="Söhne Kräftig" w:eastAsia="Times New Roman" w:hAnsi="Söhne Kräftig" w:cs="Arial"/>
          <w:sz w:val="18"/>
          <w:szCs w:val="18"/>
          <w:u w:val="double"/>
          <w:lang w:val="en-IE"/>
        </w:rPr>
      </w:pPr>
      <w:r w:rsidRPr="00983C95">
        <w:rPr>
          <w:rFonts w:ascii="Söhne Kräftig" w:eastAsia="Calibri" w:hAnsi="Söhne Kräftig" w:cs="Arial"/>
          <w:b/>
          <w:bCs/>
          <w:i/>
          <w:iCs/>
          <w:sz w:val="18"/>
          <w:szCs w:val="18"/>
          <w:u w:val="double"/>
          <w:lang w:val="en-IE"/>
        </w:rPr>
        <w:t>Table 4.4.1.</w:t>
      </w:r>
      <w:r w:rsidRPr="00983C95">
        <w:rPr>
          <w:rFonts w:ascii="Söhne Kräftig" w:eastAsia="Calibri" w:hAnsi="Söhne Kräftig" w:cs="Arial"/>
          <w:i/>
          <w:iCs/>
          <w:sz w:val="18"/>
          <w:szCs w:val="18"/>
          <w:u w:val="double"/>
          <w:lang w:val="en-IE"/>
        </w:rPr>
        <w:t xml:space="preserve"> Primers and probes for real-time PCR detection of IHHNV</w:t>
      </w:r>
    </w:p>
    <w:tbl>
      <w:tblPr>
        <w:tblW w:w="9346" w:type="dxa"/>
        <w:tblLayout w:type="fixed"/>
        <w:tblLook w:val="04A0" w:firstRow="1" w:lastRow="0" w:firstColumn="1" w:lastColumn="0" w:noHBand="0" w:noVBand="1"/>
      </w:tblPr>
      <w:tblGrid>
        <w:gridCol w:w="1560"/>
        <w:gridCol w:w="4809"/>
        <w:gridCol w:w="1559"/>
        <w:gridCol w:w="1418"/>
      </w:tblGrid>
      <w:tr w:rsidR="00983C95" w:rsidRPr="00983C95" w14:paraId="2541F4E6" w14:textId="77777777" w:rsidTr="005E584A">
        <w:trPr>
          <w:trHeight w:val="225"/>
        </w:trPr>
        <w:tc>
          <w:tcPr>
            <w:tcW w:w="1560" w:type="dxa"/>
            <w:tcBorders>
              <w:top w:val="single" w:sz="8" w:space="0" w:color="auto"/>
              <w:left w:val="single" w:sz="8" w:space="0" w:color="auto"/>
              <w:bottom w:val="single" w:sz="8" w:space="0" w:color="auto"/>
              <w:right w:val="single" w:sz="8" w:space="0" w:color="auto"/>
            </w:tcBorders>
            <w:shd w:val="clear" w:color="auto" w:fill="BFBFBF"/>
            <w:vAlign w:val="center"/>
          </w:tcPr>
          <w:p w14:paraId="75CBE64D"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Pathogen/</w:t>
            </w:r>
            <w:r w:rsidRPr="00983C95">
              <w:rPr>
                <w:rFonts w:ascii="Söhne Kräftig" w:eastAsia="Calibri" w:hAnsi="Söhne Kräftig" w:cs="Arial"/>
                <w:color w:val="000000"/>
                <w:sz w:val="18"/>
                <w:szCs w:val="18"/>
                <w:u w:val="double"/>
              </w:rPr>
              <w:t xml:space="preserve"> </w:t>
            </w:r>
            <w:r w:rsidRPr="00983C95">
              <w:rPr>
                <w:rFonts w:ascii="Söhne Kräftig" w:eastAsia="Calibri" w:hAnsi="Söhne Kräftig" w:cs="Arial"/>
                <w:color w:val="000000"/>
                <w:sz w:val="18"/>
                <w:szCs w:val="18"/>
                <w:u w:val="double"/>
              </w:rPr>
              <w:br/>
            </w:r>
            <w:r w:rsidRPr="00983C95">
              <w:rPr>
                <w:rFonts w:ascii="Söhne Kräftig" w:eastAsia="Calibri" w:hAnsi="Söhne Kräftig" w:cs="Arial"/>
                <w:color w:val="000000"/>
                <w:sz w:val="18"/>
                <w:szCs w:val="18"/>
                <w:u w:val="double"/>
                <w:lang w:val="en-US"/>
              </w:rPr>
              <w:t>target gene</w:t>
            </w:r>
          </w:p>
        </w:tc>
        <w:tc>
          <w:tcPr>
            <w:tcW w:w="4809" w:type="dxa"/>
            <w:tcBorders>
              <w:top w:val="single" w:sz="8" w:space="0" w:color="auto"/>
              <w:left w:val="single" w:sz="8" w:space="0" w:color="auto"/>
              <w:bottom w:val="single" w:sz="8" w:space="0" w:color="auto"/>
              <w:right w:val="single" w:sz="8" w:space="0" w:color="auto"/>
            </w:tcBorders>
            <w:shd w:val="clear" w:color="auto" w:fill="BFBFBF"/>
            <w:vAlign w:val="center"/>
          </w:tcPr>
          <w:p w14:paraId="2A4F1435"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Primer/probe (5’–3’)</w:t>
            </w:r>
          </w:p>
        </w:tc>
        <w:tc>
          <w:tcPr>
            <w:tcW w:w="1559" w:type="dxa"/>
            <w:tcBorders>
              <w:top w:val="single" w:sz="8" w:space="0" w:color="auto"/>
              <w:left w:val="single" w:sz="8" w:space="0" w:color="auto"/>
              <w:bottom w:val="single" w:sz="8" w:space="0" w:color="auto"/>
              <w:right w:val="single" w:sz="8" w:space="0" w:color="auto"/>
            </w:tcBorders>
            <w:shd w:val="clear" w:color="auto" w:fill="BFBFBF"/>
            <w:vAlign w:val="center"/>
          </w:tcPr>
          <w:p w14:paraId="36C6FA6A"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Concentration</w:t>
            </w:r>
          </w:p>
        </w:tc>
        <w:tc>
          <w:tcPr>
            <w:tcW w:w="1418" w:type="dxa"/>
            <w:tcBorders>
              <w:top w:val="single" w:sz="8" w:space="0" w:color="auto"/>
              <w:left w:val="single" w:sz="8" w:space="0" w:color="auto"/>
              <w:bottom w:val="single" w:sz="8" w:space="0" w:color="auto"/>
              <w:right w:val="single" w:sz="8" w:space="0" w:color="auto"/>
            </w:tcBorders>
            <w:shd w:val="clear" w:color="auto" w:fill="BFBFBF"/>
            <w:vAlign w:val="center"/>
          </w:tcPr>
          <w:p w14:paraId="0A818117"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Cycling parameters</w:t>
            </w:r>
          </w:p>
        </w:tc>
      </w:tr>
      <w:tr w:rsidR="00983C95" w:rsidRPr="00983C95" w14:paraId="79821772" w14:textId="77777777" w:rsidTr="005E584A">
        <w:trPr>
          <w:trHeight w:val="225"/>
        </w:trPr>
        <w:tc>
          <w:tcPr>
            <w:tcW w:w="934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5CCF1A"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US"/>
              </w:rPr>
              <w:t xml:space="preserve">Method 1* </w:t>
            </w:r>
            <w:r w:rsidRPr="00983C95">
              <w:rPr>
                <w:rFonts w:ascii="Söhne" w:eastAsia="Arial" w:hAnsi="Söhne" w:cs="Arial"/>
                <w:color w:val="000000"/>
                <w:sz w:val="16"/>
                <w:szCs w:val="16"/>
                <w:u w:val="double"/>
                <w:lang w:val="en-IE"/>
              </w:rPr>
              <w:t xml:space="preserve">Tang &amp; Lightner, 2001; </w:t>
            </w:r>
            <w:r w:rsidRPr="00983C95">
              <w:rPr>
                <w:rFonts w:ascii="Söhne" w:eastAsia="Calibri" w:hAnsi="Söhne" w:cs="Arial"/>
                <w:color w:val="000000"/>
                <w:sz w:val="16"/>
                <w:szCs w:val="16"/>
                <w:u w:val="double"/>
                <w:lang w:val="en-US"/>
              </w:rPr>
              <w:t xml:space="preserve">GenBank </w:t>
            </w:r>
            <w:r w:rsidRPr="00983C95">
              <w:rPr>
                <w:rFonts w:ascii="Söhne" w:hAnsi="Söhne"/>
                <w:sz w:val="16"/>
                <w:szCs w:val="16"/>
                <w:highlight w:val="yellow"/>
                <w:u w:val="double"/>
                <w:lang w:val="en-IE"/>
              </w:rPr>
              <w:t>Accession No.:</w:t>
            </w:r>
            <w:r w:rsidRPr="00983C95">
              <w:rPr>
                <w:rFonts w:ascii="Söhne" w:eastAsia="Calibri" w:hAnsi="Söhne" w:cs="Arial"/>
                <w:sz w:val="16"/>
                <w:szCs w:val="16"/>
                <w:highlight w:val="yellow"/>
                <w:lang w:val="en-GB"/>
              </w:rPr>
              <w:t xml:space="preserve"> </w:t>
            </w:r>
            <w:r w:rsidRPr="00983C95">
              <w:rPr>
                <w:rFonts w:ascii="Söhne" w:eastAsia="Calibri" w:hAnsi="Söhne" w:cs="Arial"/>
                <w:strike/>
                <w:color w:val="000000"/>
                <w:sz w:val="16"/>
                <w:szCs w:val="16"/>
                <w:highlight w:val="yellow"/>
                <w:lang w:val="en-US"/>
              </w:rPr>
              <w:t>Acc. No</w:t>
            </w:r>
            <w:r w:rsidRPr="00983C95">
              <w:rPr>
                <w:rFonts w:ascii="Söhne" w:eastAsia="Arial" w:hAnsi="Söhne" w:cs="Arial"/>
                <w:strike/>
                <w:color w:val="000000"/>
                <w:sz w:val="16"/>
                <w:szCs w:val="16"/>
                <w:lang w:val="en-IE"/>
              </w:rPr>
              <w:t xml:space="preserve"> </w:t>
            </w:r>
            <w:r w:rsidRPr="00983C95">
              <w:rPr>
                <w:rFonts w:ascii="Söhne" w:eastAsia="Arial" w:hAnsi="Söhne" w:cs="Arial"/>
                <w:color w:val="000000"/>
                <w:sz w:val="16"/>
                <w:szCs w:val="16"/>
                <w:u w:val="double"/>
                <w:lang w:val="en-IE"/>
              </w:rPr>
              <w:t>AF218266</w:t>
            </w:r>
          </w:p>
        </w:tc>
      </w:tr>
      <w:tr w:rsidR="00983C95" w:rsidRPr="00983C95" w14:paraId="4F43A7C1" w14:textId="77777777" w:rsidTr="005E584A">
        <w:trPr>
          <w:trHeight w:val="480"/>
        </w:trPr>
        <w:tc>
          <w:tcPr>
            <w:tcW w:w="1560" w:type="dxa"/>
            <w:tcBorders>
              <w:top w:val="single" w:sz="8" w:space="0" w:color="auto"/>
              <w:left w:val="single" w:sz="8" w:space="0" w:color="auto"/>
              <w:bottom w:val="single" w:sz="8" w:space="0" w:color="auto"/>
              <w:right w:val="single" w:sz="8" w:space="0" w:color="auto"/>
            </w:tcBorders>
            <w:vAlign w:val="center"/>
          </w:tcPr>
          <w:p w14:paraId="0ECA6C20" w14:textId="77777777" w:rsidR="00983C95" w:rsidRPr="00983C95" w:rsidRDefault="00983C95" w:rsidP="00983C95">
            <w:pPr>
              <w:spacing w:before="120" w:after="240"/>
              <w:rPr>
                <w:rFonts w:ascii="Söhne" w:eastAsia="Calibri" w:hAnsi="Söhne" w:cs="Arial"/>
                <w:color w:val="000000"/>
                <w:sz w:val="16"/>
                <w:szCs w:val="16"/>
                <w:u w:val="double"/>
              </w:rPr>
            </w:pPr>
            <w:r w:rsidRPr="00983C95">
              <w:rPr>
                <w:rFonts w:ascii="Söhne" w:eastAsia="Times New Roman" w:hAnsi="Söhne" w:cs="Arial"/>
                <w:bCs/>
                <w:color w:val="000000"/>
                <w:sz w:val="16"/>
                <w:szCs w:val="16"/>
                <w:u w:val="double"/>
                <w:lang w:val="en-IE" w:bidi="en-US"/>
              </w:rPr>
              <w:t>IHHNV and IHHNV-related EVEs</w:t>
            </w:r>
            <w:r w:rsidRPr="00983C95">
              <w:rPr>
                <w:rFonts w:ascii="Söhne" w:eastAsia="MS Mincho" w:hAnsi="Söhne" w:cs="Arial"/>
                <w:sz w:val="16"/>
                <w:szCs w:val="16"/>
                <w:u w:val="double"/>
                <w:lang w:val="en-IE"/>
              </w:rPr>
              <w:t xml:space="preserve"> </w:t>
            </w:r>
            <w:r w:rsidRPr="00983C95">
              <w:rPr>
                <w:rFonts w:ascii="Söhne" w:eastAsia="MS Mincho" w:hAnsi="Söhne" w:cs="Arial"/>
                <w:sz w:val="16"/>
                <w:szCs w:val="16"/>
                <w:u w:val="double"/>
                <w:lang w:val="en-IE"/>
              </w:rPr>
              <w:br/>
            </w:r>
            <w:r w:rsidRPr="00983C95">
              <w:rPr>
                <w:rFonts w:ascii="Söhne" w:eastAsia="MS Mincho" w:hAnsi="Söhne" w:cs="Arial"/>
                <w:sz w:val="16"/>
                <w:szCs w:val="16"/>
                <w:u w:val="double"/>
                <w:lang w:val="en-IE"/>
              </w:rPr>
              <w:br/>
              <w:t>non-structural protein</w:t>
            </w:r>
          </w:p>
        </w:tc>
        <w:tc>
          <w:tcPr>
            <w:tcW w:w="4809" w:type="dxa"/>
            <w:tcBorders>
              <w:top w:val="nil"/>
              <w:left w:val="single" w:sz="8" w:space="0" w:color="auto"/>
              <w:bottom w:val="single" w:sz="8" w:space="0" w:color="auto"/>
              <w:right w:val="single" w:sz="8" w:space="0" w:color="auto"/>
            </w:tcBorders>
            <w:vAlign w:val="center"/>
          </w:tcPr>
          <w:p w14:paraId="06A2B6E9" w14:textId="77777777" w:rsidR="00983C95" w:rsidRPr="00983C95" w:rsidRDefault="00983C95" w:rsidP="00983C95">
            <w:pPr>
              <w:spacing w:before="120" w:after="240"/>
              <w:rPr>
                <w:rFonts w:ascii="Söhne" w:eastAsia="Calibri" w:hAnsi="Söhne" w:cs="Arial"/>
                <w:color w:val="000000"/>
                <w:sz w:val="16"/>
                <w:szCs w:val="16"/>
                <w:u w:val="double"/>
              </w:rPr>
            </w:pPr>
            <w:r w:rsidRPr="00983C95">
              <w:rPr>
                <w:rFonts w:ascii="Söhne" w:eastAsia="Calibri" w:hAnsi="Söhne" w:cs="Arial"/>
                <w:color w:val="000000"/>
                <w:sz w:val="16"/>
                <w:szCs w:val="16"/>
                <w:u w:val="double"/>
              </w:rPr>
              <w:t xml:space="preserve">Fwd </w:t>
            </w:r>
            <w:r w:rsidRPr="00983C95">
              <w:rPr>
                <w:rFonts w:ascii="Söhne" w:eastAsia="Arial" w:hAnsi="Söhne" w:cs="Arial"/>
                <w:color w:val="000000"/>
                <w:sz w:val="16"/>
                <w:szCs w:val="16"/>
                <w:u w:val="double"/>
              </w:rPr>
              <w:t>IHHNV1608F</w:t>
            </w:r>
            <w:r w:rsidRPr="00983C95">
              <w:rPr>
                <w:rFonts w:ascii="Söhne" w:eastAsia="Calibri" w:hAnsi="Söhne" w:cs="Arial"/>
                <w:color w:val="000000"/>
                <w:sz w:val="16"/>
                <w:szCs w:val="16"/>
                <w:u w:val="double"/>
              </w:rPr>
              <w:t>: TAC-TCC-GGA-CAC-CCA-ACC-A</w:t>
            </w:r>
            <w:r w:rsidRPr="00983C95">
              <w:rPr>
                <w:rFonts w:ascii="Söhne" w:eastAsia="Calibri" w:hAnsi="Söhne" w:cs="Arial"/>
                <w:color w:val="000000"/>
                <w:sz w:val="16"/>
                <w:szCs w:val="16"/>
                <w:u w:val="double"/>
              </w:rPr>
              <w:br/>
              <w:t xml:space="preserve">Rev </w:t>
            </w:r>
            <w:r w:rsidRPr="00983C95">
              <w:rPr>
                <w:rFonts w:ascii="Söhne" w:eastAsia="Arial" w:hAnsi="Söhne" w:cs="Arial"/>
                <w:color w:val="000000"/>
                <w:sz w:val="16"/>
                <w:szCs w:val="16"/>
                <w:u w:val="double"/>
              </w:rPr>
              <w:t>IHHNV1688R</w:t>
            </w:r>
            <w:r w:rsidRPr="00983C95">
              <w:rPr>
                <w:rFonts w:ascii="Söhne" w:eastAsia="Calibri" w:hAnsi="Söhne" w:cs="Arial"/>
                <w:color w:val="000000"/>
                <w:sz w:val="16"/>
                <w:szCs w:val="16"/>
                <w:u w:val="double"/>
              </w:rPr>
              <w:t xml:space="preserve">: </w:t>
            </w:r>
            <w:r w:rsidRPr="00983C95">
              <w:rPr>
                <w:rFonts w:ascii="Söhne" w:eastAsia="Arial" w:hAnsi="Söhne" w:cs="Arial"/>
                <w:color w:val="000000"/>
                <w:sz w:val="16"/>
                <w:szCs w:val="16"/>
                <w:u w:val="double"/>
              </w:rPr>
              <w:t>GGC-TCT-GGC-AGC-AAA-GGT-AA</w:t>
            </w:r>
            <w:r w:rsidRPr="00983C95">
              <w:rPr>
                <w:rFonts w:ascii="Söhne" w:eastAsia="Arial" w:hAnsi="Söhne" w:cs="Arial"/>
                <w:color w:val="000000"/>
                <w:sz w:val="16"/>
                <w:szCs w:val="16"/>
                <w:u w:val="double"/>
              </w:rPr>
              <w:br/>
            </w:r>
            <w:r w:rsidRPr="00983C95">
              <w:rPr>
                <w:rFonts w:ascii="Söhne" w:eastAsia="Arial" w:hAnsi="Söhne" w:cs="Arial"/>
                <w:color w:val="000000"/>
                <w:sz w:val="16"/>
                <w:szCs w:val="16"/>
                <w:u w:val="double"/>
              </w:rPr>
              <w:br/>
            </w:r>
            <w:r w:rsidRPr="00983C95">
              <w:rPr>
                <w:rFonts w:ascii="Söhne" w:eastAsia="Arial" w:hAnsi="Söhne" w:cs="Arial"/>
                <w:color w:val="000000"/>
                <w:sz w:val="16"/>
                <w:szCs w:val="16"/>
                <w:u w:val="double"/>
              </w:rPr>
              <w:br/>
            </w:r>
            <w:r w:rsidRPr="00983C95">
              <w:rPr>
                <w:rFonts w:ascii="Söhne" w:eastAsia="Calibri" w:hAnsi="Söhne" w:cs="Arial"/>
                <w:color w:val="000000"/>
                <w:sz w:val="16"/>
                <w:szCs w:val="16"/>
                <w:u w:val="double"/>
              </w:rPr>
              <w:t xml:space="preserve">Probe: </w:t>
            </w:r>
            <w:r w:rsidRPr="00983C95">
              <w:rPr>
                <w:rFonts w:ascii="Söhne" w:eastAsia="Arial" w:hAnsi="Söhne" w:cs="Arial"/>
                <w:color w:val="000000"/>
                <w:sz w:val="16"/>
                <w:szCs w:val="16"/>
                <w:u w:val="double"/>
              </w:rPr>
              <w:t>FAM-ACC-AGA-CAT-AGA-GCT-ACA-ATC-CTC-GCC-TAT-TTG-</w:t>
            </w:r>
            <w:r w:rsidRPr="00983C95">
              <w:rPr>
                <w:rFonts w:ascii="Söhne" w:eastAsia="MS Mincho" w:hAnsi="Söhne" w:cs="Arial"/>
                <w:sz w:val="16"/>
                <w:szCs w:val="16"/>
                <w:u w:val="double"/>
              </w:rPr>
              <w:t>TAMRA</w:t>
            </w:r>
          </w:p>
        </w:tc>
        <w:tc>
          <w:tcPr>
            <w:tcW w:w="1559" w:type="dxa"/>
            <w:tcBorders>
              <w:top w:val="nil"/>
              <w:left w:val="single" w:sz="8" w:space="0" w:color="auto"/>
              <w:bottom w:val="single" w:sz="8" w:space="0" w:color="auto"/>
              <w:right w:val="single" w:sz="8" w:space="0" w:color="auto"/>
            </w:tcBorders>
            <w:vAlign w:val="center"/>
          </w:tcPr>
          <w:p w14:paraId="2B4FAD5C" w14:textId="77777777" w:rsidR="00983C95" w:rsidRPr="00983C95" w:rsidRDefault="00983C95" w:rsidP="00983C95">
            <w:pPr>
              <w:spacing w:before="120" w:after="240"/>
              <w:rPr>
                <w:rFonts w:ascii="Calibri" w:eastAsia="Calibri" w:hAnsi="Calibri" w:cs="Arial"/>
                <w:u w:val="double"/>
              </w:rPr>
            </w:pPr>
            <w:r w:rsidRPr="00983C95">
              <w:rPr>
                <w:rFonts w:ascii="Söhne" w:eastAsia="MS Mincho" w:hAnsi="Söhne" w:cs="Arial"/>
                <w:sz w:val="16"/>
                <w:szCs w:val="16"/>
                <w:u w:val="double"/>
                <w:lang w:val="en-IE"/>
              </w:rPr>
              <w:t>300 nM primers</w:t>
            </w:r>
            <w:r w:rsidRPr="00983C95">
              <w:rPr>
                <w:rFonts w:ascii="Söhne" w:eastAsia="MS Mincho" w:hAnsi="Söhne" w:cs="Arial"/>
                <w:sz w:val="16"/>
                <w:szCs w:val="16"/>
                <w:u w:val="double"/>
                <w:lang w:val="en-IE"/>
              </w:rPr>
              <w:br/>
              <w:t>150 nM probe</w:t>
            </w:r>
          </w:p>
        </w:tc>
        <w:tc>
          <w:tcPr>
            <w:tcW w:w="1418" w:type="dxa"/>
            <w:tcBorders>
              <w:top w:val="nil"/>
              <w:left w:val="single" w:sz="8" w:space="0" w:color="auto"/>
              <w:bottom w:val="single" w:sz="8" w:space="0" w:color="auto"/>
              <w:right w:val="single" w:sz="8" w:space="0" w:color="auto"/>
            </w:tcBorders>
            <w:vAlign w:val="center"/>
          </w:tcPr>
          <w:p w14:paraId="2ABA7C6A" w14:textId="77777777" w:rsidR="00983C95" w:rsidRPr="00983C95" w:rsidRDefault="00983C95" w:rsidP="00983C95">
            <w:pPr>
              <w:spacing w:before="120" w:after="240"/>
              <w:rPr>
                <w:rFonts w:ascii="Söhne" w:eastAsia="Calibri" w:hAnsi="Söhne" w:cs="Arial"/>
                <w:color w:val="000000"/>
                <w:sz w:val="16"/>
                <w:szCs w:val="16"/>
                <w:u w:val="double"/>
              </w:rPr>
            </w:pPr>
            <w:r w:rsidRPr="00983C95">
              <w:rPr>
                <w:rFonts w:ascii="Söhne" w:eastAsia="Arial" w:hAnsi="Söhne" w:cs="Arial"/>
                <w:color w:val="000000"/>
                <w:sz w:val="16"/>
                <w:szCs w:val="16"/>
                <w:u w:val="double"/>
                <w:lang w:val="en-IE"/>
              </w:rPr>
              <w:t>40 cycles of: 95°C/1 sec and 60°C/20 sec</w:t>
            </w:r>
          </w:p>
        </w:tc>
      </w:tr>
    </w:tbl>
    <w:p w14:paraId="71876842" w14:textId="77777777" w:rsidR="00983C95" w:rsidRPr="00983C95" w:rsidRDefault="00983C95" w:rsidP="00983C95">
      <w:pPr>
        <w:spacing w:before="120" w:after="240"/>
        <w:jc w:val="center"/>
        <w:rPr>
          <w:rFonts w:ascii="Söhne" w:eastAsia="Calibri" w:hAnsi="Söhne" w:cs="Calibri"/>
          <w:b/>
          <w:bCs/>
          <w:i/>
          <w:iCs/>
          <w:sz w:val="16"/>
          <w:szCs w:val="16"/>
          <w:u w:val="double"/>
          <w:lang w:val="en-IE"/>
        </w:rPr>
      </w:pPr>
      <w:r w:rsidRPr="00983C95">
        <w:rPr>
          <w:rFonts w:ascii="Söhne" w:eastAsia="Calibri" w:hAnsi="Söhne" w:cs="Calibri"/>
          <w:b/>
          <w:bCs/>
          <w:i/>
          <w:iCs/>
          <w:sz w:val="16"/>
          <w:szCs w:val="16"/>
          <w:u w:val="double"/>
          <w:lang w:val="en-IE"/>
        </w:rPr>
        <w:t xml:space="preserve">*NOTE – </w:t>
      </w:r>
      <w:r w:rsidRPr="00983C95">
        <w:rPr>
          <w:rFonts w:ascii="Söhne" w:eastAsia="Calibri" w:hAnsi="Söhne" w:cs="Calibri"/>
          <w:i/>
          <w:iCs/>
          <w:sz w:val="16"/>
          <w:szCs w:val="16"/>
          <w:u w:val="double"/>
          <w:lang w:val="en-IE"/>
        </w:rPr>
        <w:t xml:space="preserve">this method will amplify EVEs within the genome of </w:t>
      </w:r>
      <w:r w:rsidRPr="00983C95">
        <w:rPr>
          <w:rFonts w:ascii="Söhne" w:eastAsia="Calibri" w:hAnsi="Söhne" w:cs="Calibri"/>
          <w:sz w:val="16"/>
          <w:szCs w:val="16"/>
          <w:u w:val="double"/>
          <w:lang w:val="en-IE"/>
        </w:rPr>
        <w:t>P. monodon</w:t>
      </w:r>
      <w:r w:rsidRPr="00983C95">
        <w:rPr>
          <w:rFonts w:ascii="Söhne" w:eastAsia="Calibri" w:hAnsi="Söhne" w:cs="Calibri"/>
          <w:i/>
          <w:iCs/>
          <w:sz w:val="16"/>
          <w:szCs w:val="16"/>
          <w:u w:val="double"/>
          <w:lang w:val="en-IE"/>
        </w:rPr>
        <w:t>. Positive results in this species must be confirmed by a method that does not react with IHHNV EVEs.</w:t>
      </w:r>
    </w:p>
    <w:p w14:paraId="72B7A150" w14:textId="77777777" w:rsidR="00983C95" w:rsidRPr="00983C95" w:rsidRDefault="00983C95" w:rsidP="00983C95">
      <w:pPr>
        <w:spacing w:after="120" w:line="240" w:lineRule="auto"/>
        <w:ind w:left="1276" w:hanging="425"/>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w:t>
      </w:r>
      <w:r w:rsidRPr="00983C95">
        <w:rPr>
          <w:rFonts w:ascii="Söhne" w:eastAsia="MS Mincho" w:hAnsi="Söhne" w:cs="Arial"/>
          <w:strike/>
          <w:sz w:val="18"/>
          <w:szCs w:val="18"/>
          <w:lang w:val="en-IE"/>
        </w:rPr>
        <w:tab/>
        <w:t xml:space="preserve">The PCR primers and TaqMan probe are selected from a region of the IHHNV genomic sequence (GenBank AF218266) that encodes for a non-structural protein. The upstream (IHHNV1608F) and downstream (IHHNV1688R) primer sequences are: 5’-TAC-TCC-GGA-CAC-CCA-ACC-A-3’ and 5’-GGC-TCT-GGC-AGC-AAA-GGT-AA-3’, respectively. The TaqMan probe 5’-ACC-AGA-CAT-AGA-GCT-ACA-ATC-CTC-GCC-TAT-TTG-3’), is synthesised and labelled with FAM on the 5’ end and TAMRA on the 3’ end. </w:t>
      </w:r>
    </w:p>
    <w:p w14:paraId="09B4654A" w14:textId="77777777" w:rsidR="00983C95" w:rsidRPr="00983C95" w:rsidRDefault="00983C95" w:rsidP="00983C95">
      <w:pPr>
        <w:spacing w:after="120" w:line="240" w:lineRule="auto"/>
        <w:ind w:left="1276" w:hanging="425"/>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ii)</w:t>
      </w:r>
      <w:r w:rsidRPr="00983C95">
        <w:rPr>
          <w:rFonts w:ascii="Söhne" w:eastAsia="MS Mincho" w:hAnsi="Söhne" w:cs="Arial"/>
          <w:strike/>
          <w:sz w:val="18"/>
          <w:szCs w:val="18"/>
          <w:lang w:val="en-IE"/>
        </w:rPr>
        <w:tab/>
        <w:t xml:space="preserve">Preparation of DNA template: DNA extracted from tissues or haemolymph that was preserved in 95% ethanol and then dried. A control consisting of tissues or haemolymph from known negative animals should be included during the DNA extraction step. The DNA can be extracted by a variety of methods. </w:t>
      </w:r>
      <w:r w:rsidRPr="00983C95">
        <w:rPr>
          <w:rFonts w:ascii="Söhne" w:eastAsia="MS Mincho" w:hAnsi="Söhne" w:cs="Arial"/>
          <w:strike/>
          <w:sz w:val="18"/>
          <w:szCs w:val="18"/>
          <w:lang w:val="en-GB" w:eastAsia="fr-FR"/>
        </w:rPr>
        <w:t xml:space="preserve">Commercial DNA extraction kits include </w:t>
      </w:r>
      <w:r w:rsidRPr="00983C95">
        <w:rPr>
          <w:rFonts w:ascii="Söhne" w:eastAsia="MS Mincho" w:hAnsi="Söhne" w:cs="Arial"/>
          <w:strike/>
          <w:sz w:val="18"/>
          <w:szCs w:val="18"/>
          <w:lang w:val="en-IE"/>
        </w:rPr>
        <w:t xml:space="preserve">QIAamp DNA Mini Kit (Qiagen), MagMax™ Nucleic Acid kits (Life Technologies), or </w:t>
      </w:r>
      <w:r w:rsidRPr="00983C95">
        <w:rPr>
          <w:rFonts w:ascii="Söhne" w:eastAsia="MS Mincho" w:hAnsi="Söhne" w:cs="Arial"/>
          <w:strike/>
          <w:sz w:val="18"/>
          <w:szCs w:val="18"/>
          <w:lang w:val="en-IE" w:eastAsia="en-GB"/>
        </w:rPr>
        <w:t>Maxwell® 16 Cell LEV DNA Purification Kit (Promega),</w:t>
      </w:r>
      <w:r w:rsidRPr="00983C95">
        <w:rPr>
          <w:rFonts w:ascii="Söhne" w:eastAsia="MS Mincho" w:hAnsi="Söhne" w:cs="Arial"/>
          <w:strike/>
          <w:sz w:val="18"/>
          <w:szCs w:val="18"/>
          <w:lang w:val="en-IE"/>
        </w:rPr>
        <w:t xml:space="preserve"> or DNazol (Life Technologies). Spectrophotometric readings of the final DNA will indicate the purity of the DNA and the amount of total DNA extracted from the sample. </w:t>
      </w:r>
    </w:p>
    <w:p w14:paraId="689E78A9" w14:textId="77777777" w:rsidR="00983C95" w:rsidRPr="00983C95" w:rsidRDefault="00983C95" w:rsidP="00983C95">
      <w:pPr>
        <w:spacing w:after="120" w:line="240" w:lineRule="auto"/>
        <w:ind w:left="1276" w:hanging="425"/>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iii)</w:t>
      </w:r>
      <w:r w:rsidRPr="00983C95">
        <w:rPr>
          <w:rFonts w:ascii="Söhne" w:eastAsia="MS Mincho" w:hAnsi="Söhne" w:cs="Arial"/>
          <w:strike/>
          <w:sz w:val="18"/>
          <w:szCs w:val="18"/>
          <w:lang w:val="en-IE"/>
        </w:rPr>
        <w:tab/>
        <w:t>The real-time PCR reaction mixture contains: TaqMan Fast virus 1-step Master Mix (Life Technologies, or commercially-available equivalent reagents), 0.3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M of each primers, 0.15</w:t>
      </w:r>
      <w:r w:rsidRPr="00983C95">
        <w:rPr>
          <w:rFonts w:ascii="Söhne" w:eastAsia="MS Mincho" w:hAnsi="Söhne" w:cs="Söhne"/>
          <w:strike/>
          <w:sz w:val="18"/>
          <w:szCs w:val="18"/>
          <w:lang w:val="en-IE"/>
        </w:rPr>
        <w:t>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M of TaqMan probe, 5</w:t>
      </w:r>
      <w:r w:rsidRPr="00983C95">
        <w:rPr>
          <w:rFonts w:ascii="Söhne" w:eastAsia="MS Mincho" w:hAnsi="Söhne" w:cs="Söhne"/>
          <w:strike/>
          <w:sz w:val="18"/>
          <w:szCs w:val="18"/>
          <w:lang w:val="en-IE"/>
        </w:rPr>
        <w:t>–</w:t>
      </w:r>
      <w:r w:rsidRPr="00983C95">
        <w:rPr>
          <w:rFonts w:ascii="Söhne" w:eastAsia="MS Mincho" w:hAnsi="Söhne" w:cs="Arial"/>
          <w:strike/>
          <w:sz w:val="18"/>
          <w:szCs w:val="18"/>
          <w:lang w:val="en-IE"/>
        </w:rPr>
        <w:t>50</w:t>
      </w:r>
      <w:r w:rsidRPr="00983C95">
        <w:rPr>
          <w:rFonts w:ascii="Söhne" w:eastAsia="MS Mincho" w:hAnsi="Söhne" w:cs="Söhne"/>
          <w:strike/>
          <w:sz w:val="18"/>
          <w:szCs w:val="18"/>
          <w:lang w:val="en-IE"/>
        </w:rPr>
        <w:t> </w:t>
      </w:r>
      <w:r w:rsidRPr="00983C95">
        <w:rPr>
          <w:rFonts w:ascii="Söhne" w:eastAsia="MS Mincho" w:hAnsi="Söhne" w:cs="Arial"/>
          <w:strike/>
          <w:sz w:val="18"/>
          <w:szCs w:val="18"/>
          <w:lang w:val="en-IE"/>
        </w:rPr>
        <w:t>ng DNA, and water in a reaction volume of 20</w:t>
      </w:r>
      <w:r w:rsidRPr="00983C95">
        <w:rPr>
          <w:rFonts w:ascii="Söhne" w:eastAsia="MS Mincho" w:hAnsi="Söhne" w:cs="Söhne"/>
          <w:strike/>
          <w:sz w:val="18"/>
          <w:szCs w:val="18"/>
          <w:lang w:val="en-IE"/>
        </w:rPr>
        <w:t>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 xml:space="preserve">l. For optimal results, the reaction mixture should be vortexed and mixed well. </w:t>
      </w:r>
    </w:p>
    <w:p w14:paraId="2287CEC0" w14:textId="77777777" w:rsidR="00983C95" w:rsidRPr="00983C95" w:rsidRDefault="00983C95" w:rsidP="00983C95">
      <w:pPr>
        <w:spacing w:after="120" w:line="240" w:lineRule="auto"/>
        <w:ind w:left="1276" w:hanging="425"/>
        <w:jc w:val="both"/>
        <w:rPr>
          <w:rFonts w:ascii="Arial" w:eastAsia="MS Mincho" w:hAnsi="Arial" w:cs="Arial"/>
          <w:strike/>
          <w:sz w:val="18"/>
          <w:szCs w:val="18"/>
          <w:lang w:val="en-IE"/>
        </w:rPr>
      </w:pPr>
      <w:r w:rsidRPr="00983C95">
        <w:rPr>
          <w:rFonts w:ascii="Arial" w:eastAsia="MS Mincho" w:hAnsi="Arial" w:cs="Arial"/>
          <w:strike/>
          <w:sz w:val="18"/>
          <w:szCs w:val="18"/>
          <w:lang w:val="en-IE"/>
        </w:rPr>
        <w:t>iv)</w:t>
      </w:r>
      <w:r w:rsidRPr="00983C95">
        <w:rPr>
          <w:rFonts w:ascii="Arial" w:eastAsia="MS Mincho" w:hAnsi="Arial" w:cs="Arial"/>
          <w:strike/>
          <w:sz w:val="18"/>
          <w:szCs w:val="18"/>
          <w:lang w:val="en-IE"/>
        </w:rPr>
        <w:tab/>
        <w:t xml:space="preserve">The cycling profile is: initial denaturation of 20 seconds at 95°C, followed by 40 cycles of denaturation at 95°C for 1 second and annealing/extension at 60°C for 20 seconds. </w:t>
      </w:r>
    </w:p>
    <w:p w14:paraId="4F13700B"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lastRenderedPageBreak/>
        <w:t>4.4.2.</w:t>
      </w:r>
      <w:r w:rsidRPr="00983C95">
        <w:rPr>
          <w:rFonts w:ascii="Söhne Kräftig" w:eastAsia="Times New Roman" w:hAnsi="Söhne Kräftig" w:cs="Times New Roman"/>
          <w:bCs/>
          <w:sz w:val="20"/>
          <w:lang w:val="en-GB" w:eastAsia="fr-FR"/>
        </w:rPr>
        <w:tab/>
        <w:t>Conventional PCR</w:t>
      </w:r>
    </w:p>
    <w:p w14:paraId="37BE3D19" w14:textId="77777777" w:rsidR="00983C95" w:rsidRPr="00983C95" w:rsidRDefault="00983C95" w:rsidP="00983C95">
      <w:pPr>
        <w:spacing w:after="240" w:line="240" w:lineRule="auto"/>
        <w:ind w:left="851"/>
        <w:jc w:val="both"/>
        <w:rPr>
          <w:rFonts w:ascii="Söhne" w:eastAsia="Times New Roman" w:hAnsi="Söhne" w:cs="Times New Roman"/>
          <w:bCs/>
          <w:strike/>
          <w:sz w:val="18"/>
          <w:lang w:val="en-IE"/>
        </w:rPr>
      </w:pPr>
      <w:r w:rsidRPr="00983C95">
        <w:rPr>
          <w:rFonts w:ascii="Söhne" w:eastAsia="Times New Roman" w:hAnsi="Söhne" w:cs="Times New Roman"/>
          <w:bCs/>
          <w:strike/>
          <w:sz w:val="18"/>
          <w:lang w:val="en-IE"/>
        </w:rPr>
        <w:t>The following controls should be run with each assay: negative extraction control; positive control; no template control; internal PCR control.</w:t>
      </w:r>
    </w:p>
    <w:p w14:paraId="183ABF87"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iCs/>
          <w:spacing w:val="4"/>
          <w:sz w:val="18"/>
          <w:lang w:val="en-IE"/>
        </w:rPr>
        <w:t>S</w:t>
      </w:r>
      <w:r w:rsidRPr="00983C95">
        <w:rPr>
          <w:rFonts w:ascii="Söhne" w:eastAsia="Times New Roman" w:hAnsi="Söhne" w:cs="Times New Roman"/>
          <w:bCs/>
          <w:sz w:val="18"/>
          <w:lang w:val="en-IE"/>
        </w:rPr>
        <w:t xml:space="preserve">everal one-step PCR methods (Krabsetsve </w:t>
      </w:r>
      <w:r w:rsidRPr="00983C95">
        <w:rPr>
          <w:rFonts w:ascii="Söhne" w:eastAsia="Times New Roman" w:hAnsi="Söhne" w:cs="Times New Roman"/>
          <w:bCs/>
          <w:i/>
          <w:iCs/>
          <w:sz w:val="18"/>
          <w:lang w:val="en-IE"/>
        </w:rPr>
        <w:t>et al.,</w:t>
      </w:r>
      <w:r w:rsidRPr="00983C95">
        <w:rPr>
          <w:rFonts w:ascii="Söhne" w:eastAsia="Times New Roman" w:hAnsi="Söhne" w:cs="Times New Roman"/>
          <w:bCs/>
          <w:sz w:val="18"/>
          <w:lang w:val="en-IE"/>
        </w:rPr>
        <w:t xml:space="preserve"> 2004; Nunan </w:t>
      </w:r>
      <w:r w:rsidRPr="00983C95">
        <w:rPr>
          <w:rFonts w:ascii="Söhne" w:eastAsia="Times New Roman" w:hAnsi="Söhne" w:cs="Times New Roman"/>
          <w:bCs/>
          <w:i/>
          <w:iCs/>
          <w:sz w:val="18"/>
          <w:lang w:val="en-IE"/>
        </w:rPr>
        <w:t xml:space="preserve">at al., </w:t>
      </w:r>
      <w:r w:rsidRPr="00983C95">
        <w:rPr>
          <w:rFonts w:ascii="Söhne" w:eastAsia="Times New Roman" w:hAnsi="Söhne" w:cs="Times New Roman"/>
          <w:bCs/>
          <w:sz w:val="18"/>
          <w:lang w:val="en-IE"/>
        </w:rPr>
        <w:t xml:space="preserve">2000; Shike </w:t>
      </w:r>
      <w:r w:rsidRPr="00983C95">
        <w:rPr>
          <w:rFonts w:ascii="Söhne" w:eastAsia="Times New Roman" w:hAnsi="Söhne" w:cs="Times New Roman"/>
          <w:bCs/>
          <w:i/>
          <w:iCs/>
          <w:sz w:val="18"/>
          <w:lang w:val="en-IE"/>
        </w:rPr>
        <w:t xml:space="preserve">et al., </w:t>
      </w:r>
      <w:r w:rsidRPr="00983C95">
        <w:rPr>
          <w:rFonts w:ascii="Söhne" w:eastAsia="Times New Roman" w:hAnsi="Söhne" w:cs="Times New Roman"/>
          <w:bCs/>
          <w:sz w:val="18"/>
          <w:lang w:val="en-IE"/>
        </w:rPr>
        <w:t>2000; Tang</w:t>
      </w:r>
      <w:r w:rsidRPr="00983C95">
        <w:rPr>
          <w:rFonts w:ascii="Söhne" w:eastAsia="Times New Roman" w:hAnsi="Söhne" w:cs="Times New Roman"/>
          <w:bCs/>
          <w:i/>
          <w:iCs/>
          <w:sz w:val="18"/>
          <w:lang w:val="en-IE"/>
        </w:rPr>
        <w:t xml:space="preserve"> et al.,</w:t>
      </w:r>
      <w:r w:rsidRPr="00983C95">
        <w:rPr>
          <w:rFonts w:ascii="Söhne" w:eastAsia="Times New Roman" w:hAnsi="Söhne" w:cs="Times New Roman"/>
          <w:bCs/>
          <w:sz w:val="18"/>
          <w:lang w:val="en-IE"/>
        </w:rPr>
        <w:t xml:space="preserve"> 2000; 2007), and a number of commercial PCR kits are available for IHHNV detection. Nested methods are also available. </w:t>
      </w:r>
      <w:r w:rsidRPr="00983C95">
        <w:rPr>
          <w:rFonts w:ascii="Söhne" w:eastAsia="Times New Roman" w:hAnsi="Söhne" w:cs="Times New Roman"/>
          <w:bCs/>
          <w:sz w:val="18"/>
          <w:u w:val="double"/>
          <w:lang w:val="en-IE"/>
        </w:rPr>
        <w:t xml:space="preserve">In addition to IHHNV, some of these methods will amplify EVEs in </w:t>
      </w:r>
      <w:r w:rsidRPr="00983C95">
        <w:rPr>
          <w:rFonts w:ascii="Söhne" w:eastAsia="Times New Roman" w:hAnsi="Söhne" w:cs="Times New Roman"/>
          <w:bCs/>
          <w:i/>
          <w:iCs/>
          <w:sz w:val="18"/>
          <w:u w:val="double"/>
          <w:lang w:val="en-IE"/>
        </w:rPr>
        <w:t>Penaeus monodon</w:t>
      </w:r>
      <w:r w:rsidRPr="00983C95">
        <w:rPr>
          <w:rFonts w:ascii="Söhne" w:eastAsia="Times New Roman" w:hAnsi="Söhne" w:cs="Times New Roman"/>
          <w:bCs/>
          <w:sz w:val="18"/>
          <w:u w:val="double"/>
          <w:lang w:val="en-IE"/>
        </w:rPr>
        <w:t xml:space="preserve">. Positive results in </w:t>
      </w:r>
      <w:r w:rsidRPr="00983C95">
        <w:rPr>
          <w:rFonts w:ascii="Söhne" w:eastAsia="Times New Roman" w:hAnsi="Söhne" w:cs="Times New Roman"/>
          <w:bCs/>
          <w:i/>
          <w:iCs/>
          <w:sz w:val="18"/>
          <w:u w:val="double"/>
          <w:lang w:val="en-IE"/>
        </w:rPr>
        <w:t>P. monodon</w:t>
      </w:r>
      <w:r w:rsidRPr="00983C95">
        <w:rPr>
          <w:rFonts w:ascii="Söhne" w:eastAsia="Times New Roman" w:hAnsi="Söhne" w:cs="Times New Roman"/>
          <w:bCs/>
          <w:sz w:val="18"/>
          <w:u w:val="double"/>
          <w:lang w:val="en-IE"/>
        </w:rPr>
        <w:t xml:space="preserve"> should be followed up with other methods that will not react with EVEs.</w:t>
      </w:r>
      <w:r w:rsidRPr="00983C95">
        <w:rPr>
          <w:rFonts w:ascii="Söhne" w:eastAsia="Times New Roman" w:hAnsi="Söhne" w:cs="Times New Roman"/>
          <w:bCs/>
          <w:sz w:val="18"/>
          <w:lang w:val="en-IE"/>
        </w:rPr>
        <w:t xml:space="preserve"> </w:t>
      </w:r>
      <w:r w:rsidRPr="00983C95">
        <w:rPr>
          <w:rFonts w:ascii="Söhne" w:eastAsia="Times New Roman" w:hAnsi="Söhne" w:cs="Times New Roman"/>
          <w:bCs/>
          <w:strike/>
          <w:sz w:val="18"/>
          <w:lang w:val="en-IE"/>
        </w:rPr>
        <w:t>In the event that results are ambiguous using the 389F/R ‘universal’ primer set, it is recommended to use primers from a different region of the genome for confirmatory testing. In this case, that would mean using primers 77012F/77353R or the 392F/R primer sets and follow up with sequencing of PCR amplicons for confirmation.</w:t>
      </w:r>
    </w:p>
    <w:p w14:paraId="20D2508C" w14:textId="77777777" w:rsidR="00983C95" w:rsidRPr="00983C95" w:rsidRDefault="00983C95" w:rsidP="00983C95">
      <w:pPr>
        <w:spacing w:after="240" w:line="240" w:lineRule="auto"/>
        <w:ind w:left="851"/>
        <w:jc w:val="both"/>
        <w:rPr>
          <w:rFonts w:ascii="Söhne Kräftig" w:eastAsia="Times New Roman" w:hAnsi="Söhne Kräftig" w:cs="Times New Roman"/>
          <w:bCs/>
          <w:i/>
          <w:sz w:val="18"/>
          <w:lang w:val="en-IE" w:bidi="en-US"/>
        </w:rPr>
      </w:pPr>
      <w:r w:rsidRPr="00983C95">
        <w:rPr>
          <w:rFonts w:ascii="Söhne Kräftig" w:eastAsia="Times New Roman" w:hAnsi="Söhne Kräftig" w:cs="Times New Roman"/>
          <w:b/>
          <w:bCs/>
          <w:i/>
          <w:sz w:val="18"/>
          <w:lang w:val="en-IE" w:bidi="en-US"/>
        </w:rPr>
        <w:t>Table 4.4.2.1.</w:t>
      </w:r>
      <w:r w:rsidRPr="00983C95">
        <w:rPr>
          <w:rFonts w:ascii="Söhne Kräftig" w:eastAsia="Times New Roman" w:hAnsi="Söhne Kräftig" w:cs="Times New Roman"/>
          <w:bCs/>
          <w:i/>
          <w:sz w:val="18"/>
          <w:lang w:val="en-IE" w:bidi="en-US"/>
        </w:rPr>
        <w:t xml:space="preserve"> </w:t>
      </w:r>
      <w:bookmarkStart w:id="3" w:name="_Hlk97547624"/>
      <w:r w:rsidRPr="00983C95">
        <w:rPr>
          <w:rFonts w:ascii="Söhne Kräftig" w:eastAsia="Times New Roman" w:hAnsi="Söhne Kräftig" w:cs="Times New Roman"/>
          <w:bCs/>
          <w:i/>
          <w:sz w:val="18"/>
          <w:lang w:val="en-IE" w:bidi="en-US"/>
        </w:rPr>
        <w:t xml:space="preserve">Recommended primer sets for </w:t>
      </w:r>
      <w:r w:rsidRPr="00983C95">
        <w:rPr>
          <w:rFonts w:ascii="Söhne Kräftig" w:eastAsia="Times New Roman" w:hAnsi="Söhne Kräftig" w:cs="Times New Roman"/>
          <w:bCs/>
          <w:i/>
          <w:strike/>
          <w:sz w:val="18"/>
          <w:lang w:val="en-IE" w:bidi="en-US"/>
        </w:rPr>
        <w:t xml:space="preserve">one-step </w:t>
      </w:r>
      <w:r w:rsidRPr="00983C95">
        <w:rPr>
          <w:rFonts w:ascii="Söhne Kräftig" w:eastAsia="Times New Roman" w:hAnsi="Söhne Kräftig" w:cs="Times New Roman"/>
          <w:bCs/>
          <w:i/>
          <w:sz w:val="18"/>
          <w:u w:val="double"/>
          <w:lang w:val="en-IE" w:bidi="en-US"/>
        </w:rPr>
        <w:t>conventional</w:t>
      </w:r>
      <w:r w:rsidRPr="00983C95">
        <w:rPr>
          <w:rFonts w:ascii="Söhne Kräftig" w:eastAsia="Times New Roman" w:hAnsi="Söhne Kräftig" w:cs="Times New Roman"/>
          <w:bCs/>
          <w:i/>
          <w:sz w:val="18"/>
          <w:lang w:val="en-IE" w:bidi="en-US"/>
        </w:rPr>
        <w:t xml:space="preserve"> PCR detection of IHHNV</w:t>
      </w:r>
      <w:bookmarkEnd w:id="3"/>
    </w:p>
    <w:tbl>
      <w:tblPr>
        <w:tblW w:w="9629" w:type="dxa"/>
        <w:tblLayout w:type="fixed"/>
        <w:tblLook w:val="04A0" w:firstRow="1" w:lastRow="0" w:firstColumn="1" w:lastColumn="0" w:noHBand="0" w:noVBand="1"/>
      </w:tblPr>
      <w:tblGrid>
        <w:gridCol w:w="2258"/>
        <w:gridCol w:w="3828"/>
        <w:gridCol w:w="1417"/>
        <w:gridCol w:w="2126"/>
      </w:tblGrid>
      <w:tr w:rsidR="00983C95" w:rsidRPr="00983C95" w14:paraId="3423B35A" w14:textId="77777777" w:rsidTr="005E584A">
        <w:trPr>
          <w:trHeight w:val="225"/>
        </w:trPr>
        <w:tc>
          <w:tcPr>
            <w:tcW w:w="2258" w:type="dxa"/>
            <w:tcBorders>
              <w:top w:val="single" w:sz="8" w:space="0" w:color="auto"/>
              <w:left w:val="single" w:sz="8" w:space="0" w:color="auto"/>
              <w:bottom w:val="single" w:sz="8" w:space="0" w:color="auto"/>
              <w:right w:val="single" w:sz="8" w:space="0" w:color="auto"/>
            </w:tcBorders>
            <w:shd w:val="clear" w:color="auto" w:fill="BFBFBF"/>
            <w:vAlign w:val="center"/>
          </w:tcPr>
          <w:p w14:paraId="3F68CEAB"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Pathogen /</w:t>
            </w:r>
            <w:r w:rsidRPr="00983C95">
              <w:rPr>
                <w:rFonts w:ascii="Söhne Kräftig" w:eastAsia="Calibri" w:hAnsi="Söhne Kräftig" w:cs="Arial"/>
                <w:color w:val="000000"/>
                <w:sz w:val="18"/>
                <w:szCs w:val="18"/>
                <w:u w:val="double"/>
              </w:rPr>
              <w:t xml:space="preserve"> </w:t>
            </w:r>
            <w:r w:rsidRPr="00983C95">
              <w:rPr>
                <w:rFonts w:ascii="Söhne Kräftig" w:eastAsia="Calibri" w:hAnsi="Söhne Kräftig" w:cs="Arial"/>
                <w:color w:val="000000"/>
                <w:sz w:val="18"/>
                <w:szCs w:val="18"/>
                <w:u w:val="double"/>
              </w:rPr>
              <w:br/>
            </w:r>
            <w:r w:rsidRPr="00983C95">
              <w:rPr>
                <w:rFonts w:ascii="Söhne Kräftig" w:eastAsia="Calibri" w:hAnsi="Söhne Kräftig" w:cs="Arial"/>
                <w:color w:val="000000"/>
                <w:sz w:val="18"/>
                <w:szCs w:val="18"/>
                <w:u w:val="double"/>
                <w:lang w:val="en-US"/>
              </w:rPr>
              <w:t>target gene</w:t>
            </w:r>
          </w:p>
        </w:tc>
        <w:tc>
          <w:tcPr>
            <w:tcW w:w="3828" w:type="dxa"/>
            <w:tcBorders>
              <w:top w:val="single" w:sz="8" w:space="0" w:color="auto"/>
              <w:left w:val="single" w:sz="8" w:space="0" w:color="auto"/>
              <w:bottom w:val="single" w:sz="8" w:space="0" w:color="auto"/>
              <w:right w:val="single" w:sz="8" w:space="0" w:color="auto"/>
            </w:tcBorders>
            <w:shd w:val="clear" w:color="auto" w:fill="BFBFBF"/>
            <w:vAlign w:val="center"/>
          </w:tcPr>
          <w:p w14:paraId="32CD5EB9"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Primer</w:t>
            </w:r>
            <w:r w:rsidRPr="00983C95">
              <w:rPr>
                <w:rFonts w:ascii="Söhne Kräftig" w:eastAsia="Calibri" w:hAnsi="Söhne Kräftig" w:cs="Arial"/>
                <w:strike/>
                <w:color w:val="000000"/>
                <w:sz w:val="18"/>
                <w:szCs w:val="18"/>
                <w:highlight w:val="yellow"/>
                <w:lang w:val="en-US"/>
              </w:rPr>
              <w:t>/probe</w:t>
            </w:r>
            <w:r w:rsidRPr="00983C95">
              <w:rPr>
                <w:rFonts w:ascii="Söhne Kräftig" w:eastAsia="Calibri" w:hAnsi="Söhne Kräftig" w:cs="Arial"/>
                <w:color w:val="000000"/>
                <w:sz w:val="18"/>
                <w:szCs w:val="18"/>
                <w:u w:val="double"/>
              </w:rPr>
              <w:t xml:space="preserve"> </w:t>
            </w:r>
            <w:r w:rsidRPr="00983C95">
              <w:rPr>
                <w:rFonts w:ascii="Söhne Kräftig" w:eastAsia="Calibri" w:hAnsi="Söhne Kräftig" w:cs="Arial"/>
                <w:color w:val="000000"/>
                <w:sz w:val="18"/>
                <w:szCs w:val="18"/>
                <w:u w:val="double"/>
                <w:lang w:val="en-US"/>
              </w:rPr>
              <w:t>(5’–3’)</w:t>
            </w:r>
          </w:p>
        </w:tc>
        <w:tc>
          <w:tcPr>
            <w:tcW w:w="1417" w:type="dxa"/>
            <w:tcBorders>
              <w:top w:val="single" w:sz="8" w:space="0" w:color="auto"/>
              <w:left w:val="single" w:sz="8" w:space="0" w:color="auto"/>
              <w:bottom w:val="single" w:sz="8" w:space="0" w:color="auto"/>
              <w:right w:val="single" w:sz="8" w:space="0" w:color="auto"/>
            </w:tcBorders>
            <w:shd w:val="clear" w:color="auto" w:fill="BFBFBF"/>
            <w:vAlign w:val="center"/>
          </w:tcPr>
          <w:p w14:paraId="0BB7A891"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Concentration</w:t>
            </w:r>
          </w:p>
        </w:tc>
        <w:tc>
          <w:tcPr>
            <w:tcW w:w="2126" w:type="dxa"/>
            <w:tcBorders>
              <w:top w:val="single" w:sz="8" w:space="0" w:color="auto"/>
              <w:left w:val="single" w:sz="8" w:space="0" w:color="auto"/>
              <w:bottom w:val="single" w:sz="8" w:space="0" w:color="auto"/>
              <w:right w:val="single" w:sz="8" w:space="0" w:color="auto"/>
            </w:tcBorders>
            <w:shd w:val="clear" w:color="auto" w:fill="BFBFBF"/>
            <w:vAlign w:val="center"/>
          </w:tcPr>
          <w:p w14:paraId="1FCA6F7C" w14:textId="77777777" w:rsidR="00983C95" w:rsidRPr="00983C95" w:rsidRDefault="00983C95" w:rsidP="00983C95">
            <w:pPr>
              <w:spacing w:before="120" w:after="120"/>
              <w:jc w:val="center"/>
              <w:rPr>
                <w:rFonts w:ascii="Söhne Kräftig" w:eastAsia="Calibri" w:hAnsi="Söhne Kräftig" w:cs="Arial"/>
                <w:color w:val="000000"/>
                <w:sz w:val="18"/>
                <w:szCs w:val="18"/>
                <w:u w:val="double"/>
              </w:rPr>
            </w:pPr>
            <w:r w:rsidRPr="00983C95">
              <w:rPr>
                <w:rFonts w:ascii="Söhne Kräftig" w:eastAsia="Calibri" w:hAnsi="Söhne Kräftig" w:cs="Arial"/>
                <w:color w:val="000000"/>
                <w:sz w:val="18"/>
                <w:szCs w:val="18"/>
                <w:u w:val="double"/>
                <w:lang w:val="en-US"/>
              </w:rPr>
              <w:t>Cycling parameters</w:t>
            </w:r>
          </w:p>
        </w:tc>
      </w:tr>
      <w:tr w:rsidR="00983C95" w:rsidRPr="00983C95" w14:paraId="320D2051" w14:textId="77777777" w:rsidTr="005E584A">
        <w:trPr>
          <w:trHeight w:val="225"/>
        </w:trPr>
        <w:tc>
          <w:tcPr>
            <w:tcW w:w="96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8A44C3A"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US"/>
              </w:rPr>
              <w:t xml:space="preserve">Method 1* </w:t>
            </w:r>
            <w:r w:rsidRPr="00983C95">
              <w:rPr>
                <w:rFonts w:ascii="Söhne" w:eastAsia="Times New Roman" w:hAnsi="Söhne" w:cs="Arial"/>
                <w:bCs/>
                <w:sz w:val="16"/>
                <w:szCs w:val="16"/>
                <w:u w:val="double"/>
                <w:lang w:val="en-IE" w:bidi="en-US"/>
              </w:rPr>
              <w:t xml:space="preserve">Tang </w:t>
            </w:r>
            <w:r w:rsidRPr="00983C95">
              <w:rPr>
                <w:rFonts w:ascii="Söhne" w:eastAsia="Times New Roman" w:hAnsi="Söhne" w:cs="Arial"/>
                <w:bCs/>
                <w:i/>
                <w:iCs/>
                <w:sz w:val="16"/>
                <w:szCs w:val="16"/>
                <w:u w:val="double"/>
                <w:lang w:val="en-IE" w:bidi="en-US"/>
              </w:rPr>
              <w:t>et al.,</w:t>
            </w:r>
            <w:r w:rsidRPr="00983C95">
              <w:rPr>
                <w:rFonts w:ascii="Söhne" w:eastAsia="Times New Roman" w:hAnsi="Söhne" w:cs="Arial"/>
                <w:bCs/>
                <w:sz w:val="16"/>
                <w:szCs w:val="16"/>
                <w:u w:val="double"/>
                <w:lang w:val="en-IE" w:bidi="en-US"/>
              </w:rPr>
              <w:t xml:space="preserve"> 2007</w:t>
            </w:r>
            <w:r w:rsidRPr="00983C95">
              <w:rPr>
                <w:rFonts w:ascii="Söhne" w:eastAsia="Arial" w:hAnsi="Söhne" w:cs="Arial"/>
                <w:color w:val="000000"/>
                <w:sz w:val="16"/>
                <w:szCs w:val="16"/>
                <w:u w:val="double"/>
                <w:lang w:val="en-IE"/>
              </w:rPr>
              <w:t xml:space="preserve">; </w:t>
            </w:r>
            <w:r w:rsidRPr="00983C95">
              <w:rPr>
                <w:rFonts w:ascii="Söhne" w:eastAsia="Calibri" w:hAnsi="Söhne" w:cs="Arial"/>
                <w:color w:val="000000"/>
                <w:sz w:val="16"/>
                <w:szCs w:val="16"/>
                <w:u w:val="double"/>
                <w:lang w:val="en-US"/>
              </w:rPr>
              <w:t xml:space="preserve">GenBank </w:t>
            </w:r>
            <w:r w:rsidRPr="00983C95">
              <w:rPr>
                <w:rFonts w:ascii="Söhne" w:hAnsi="Söhne"/>
                <w:sz w:val="16"/>
                <w:szCs w:val="16"/>
                <w:highlight w:val="yellow"/>
                <w:u w:val="double"/>
                <w:lang w:val="en-IE"/>
              </w:rPr>
              <w:t>Accession No.:</w:t>
            </w:r>
            <w:r w:rsidRPr="00983C95">
              <w:rPr>
                <w:rFonts w:ascii="Söhne" w:eastAsia="Calibri" w:hAnsi="Söhne" w:cs="Arial"/>
                <w:sz w:val="16"/>
                <w:szCs w:val="16"/>
                <w:highlight w:val="yellow"/>
                <w:lang w:val="en-GB"/>
              </w:rPr>
              <w:t xml:space="preserve"> </w:t>
            </w:r>
            <w:r w:rsidRPr="00983C95">
              <w:rPr>
                <w:rFonts w:ascii="Söhne" w:eastAsia="Calibri" w:hAnsi="Söhne" w:cs="Arial"/>
                <w:strike/>
                <w:color w:val="000000"/>
                <w:sz w:val="16"/>
                <w:szCs w:val="16"/>
                <w:highlight w:val="yellow"/>
                <w:lang w:val="en-US"/>
              </w:rPr>
              <w:t>Acc. No</w:t>
            </w:r>
            <w:r w:rsidRPr="00983C95">
              <w:rPr>
                <w:rFonts w:ascii="Söhne" w:eastAsia="Arial" w:hAnsi="Söhne" w:cs="Arial"/>
                <w:strike/>
                <w:color w:val="000000"/>
                <w:sz w:val="16"/>
                <w:szCs w:val="16"/>
                <w:lang w:val="en-IE"/>
              </w:rPr>
              <w:t xml:space="preserve"> </w:t>
            </w:r>
            <w:r w:rsidRPr="00983C95">
              <w:rPr>
                <w:rFonts w:ascii="Söhne" w:eastAsia="Arial" w:hAnsi="Söhne" w:cs="Arial"/>
                <w:color w:val="000000"/>
                <w:sz w:val="16"/>
                <w:szCs w:val="16"/>
                <w:u w:val="double"/>
                <w:lang w:val="en-IE"/>
              </w:rPr>
              <w:t xml:space="preserve">AF218266; </w:t>
            </w:r>
            <w:r w:rsidRPr="00983C95">
              <w:rPr>
                <w:rFonts w:ascii="Söhne" w:eastAsia="Arial" w:hAnsi="Söhne" w:cs="Arial"/>
                <w:color w:val="000000"/>
                <w:sz w:val="16"/>
                <w:szCs w:val="16"/>
                <w:highlight w:val="yellow"/>
                <w:u w:val="double"/>
                <w:lang w:val="en-IE"/>
              </w:rPr>
              <w:t>amplicon size</w:t>
            </w:r>
            <w:r w:rsidRPr="00983C95">
              <w:rPr>
                <w:rFonts w:ascii="Söhne" w:eastAsia="Arial" w:hAnsi="Söhne" w:cs="Arial"/>
                <w:color w:val="000000"/>
                <w:sz w:val="16"/>
                <w:szCs w:val="16"/>
                <w:u w:val="double"/>
                <w:lang w:val="en-IE"/>
              </w:rPr>
              <w:t xml:space="preserve"> 389 bp</w:t>
            </w:r>
            <w:r w:rsidRPr="00983C95">
              <w:rPr>
                <w:rFonts w:ascii="Söhne" w:eastAsia="Arial" w:hAnsi="Söhne" w:cs="Arial"/>
                <w:strike/>
                <w:color w:val="000000"/>
                <w:sz w:val="16"/>
                <w:szCs w:val="16"/>
                <w:lang w:val="en-IE"/>
              </w:rPr>
              <w:t xml:space="preserve"> </w:t>
            </w:r>
            <w:r w:rsidRPr="00983C95">
              <w:rPr>
                <w:rFonts w:ascii="Söhne" w:eastAsia="Arial" w:hAnsi="Söhne" w:cs="Arial"/>
                <w:strike/>
                <w:color w:val="000000"/>
                <w:sz w:val="16"/>
                <w:szCs w:val="16"/>
                <w:highlight w:val="yellow"/>
                <w:lang w:val="en-IE"/>
              </w:rPr>
              <w:t>product</w:t>
            </w:r>
          </w:p>
        </w:tc>
      </w:tr>
      <w:tr w:rsidR="00983C95" w:rsidRPr="00983C95" w14:paraId="14531706" w14:textId="77777777" w:rsidTr="005E584A">
        <w:trPr>
          <w:trHeight w:val="480"/>
        </w:trPr>
        <w:tc>
          <w:tcPr>
            <w:tcW w:w="2258" w:type="dxa"/>
            <w:tcBorders>
              <w:top w:val="single" w:sz="8" w:space="0" w:color="auto"/>
              <w:left w:val="single" w:sz="8" w:space="0" w:color="auto"/>
              <w:bottom w:val="single" w:sz="8" w:space="0" w:color="auto"/>
              <w:right w:val="single" w:sz="8" w:space="0" w:color="auto"/>
            </w:tcBorders>
            <w:vAlign w:val="center"/>
          </w:tcPr>
          <w:p w14:paraId="3C9D95B3"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Times New Roman" w:hAnsi="Söhne" w:cs="Arial"/>
                <w:bCs/>
                <w:color w:val="000000"/>
                <w:sz w:val="16"/>
                <w:szCs w:val="16"/>
                <w:u w:val="double"/>
                <w:lang w:val="en-IE" w:bidi="en-US"/>
              </w:rPr>
              <w:t>IHHNV and IHHNV-related EVEs</w:t>
            </w:r>
            <w:r w:rsidRPr="00983C95">
              <w:rPr>
                <w:rFonts w:ascii="Söhne" w:eastAsia="MS Mincho" w:hAnsi="Söhne" w:cs="Arial"/>
                <w:sz w:val="16"/>
                <w:szCs w:val="16"/>
                <w:u w:val="double"/>
                <w:lang w:val="en-IE"/>
              </w:rPr>
              <w:br/>
              <w:t>Non-structural protein</w:t>
            </w:r>
          </w:p>
        </w:tc>
        <w:tc>
          <w:tcPr>
            <w:tcW w:w="3828" w:type="dxa"/>
            <w:tcBorders>
              <w:top w:val="nil"/>
              <w:left w:val="single" w:sz="8" w:space="0" w:color="auto"/>
              <w:bottom w:val="nil"/>
              <w:right w:val="single" w:sz="8" w:space="0" w:color="auto"/>
            </w:tcBorders>
            <w:vAlign w:val="center"/>
          </w:tcPr>
          <w:p w14:paraId="0484B871"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Times New Roman" w:hAnsi="Söhne" w:cs="Arial"/>
                <w:bCs/>
                <w:color w:val="000000"/>
                <w:sz w:val="16"/>
                <w:szCs w:val="16"/>
                <w:u w:val="double"/>
                <w:lang w:val="en-IE" w:bidi="en-US"/>
              </w:rPr>
              <w:t>Fwd 389F: CGG-AAC-ACA-ACC-CGA-CTT-TA</w:t>
            </w:r>
            <w:r w:rsidRPr="00983C95">
              <w:rPr>
                <w:rFonts w:ascii="Söhne" w:eastAsia="Times New Roman" w:hAnsi="Söhne" w:cs="Arial"/>
                <w:bCs/>
                <w:color w:val="000000"/>
                <w:sz w:val="16"/>
                <w:szCs w:val="16"/>
                <w:u w:val="double"/>
                <w:lang w:val="en-IE" w:bidi="en-US"/>
              </w:rPr>
              <w:br/>
              <w:t>Rev 389R: GGC-CAA-GAC-CAA-AAT-ACG-AA</w:t>
            </w:r>
          </w:p>
        </w:tc>
        <w:tc>
          <w:tcPr>
            <w:tcW w:w="1417" w:type="dxa"/>
            <w:tcBorders>
              <w:top w:val="nil"/>
              <w:left w:val="single" w:sz="8" w:space="0" w:color="auto"/>
              <w:bottom w:val="nil"/>
              <w:right w:val="single" w:sz="8" w:space="0" w:color="auto"/>
            </w:tcBorders>
            <w:vAlign w:val="center"/>
          </w:tcPr>
          <w:p w14:paraId="72A4744E" w14:textId="77777777" w:rsidR="00983C95" w:rsidRPr="00983C95" w:rsidRDefault="00983C95" w:rsidP="00983C95">
            <w:pPr>
              <w:autoSpaceDE w:val="0"/>
              <w:autoSpaceDN w:val="0"/>
              <w:adjustRightInd w:val="0"/>
              <w:spacing w:before="120" w:after="120" w:line="240" w:lineRule="auto"/>
              <w:jc w:val="center"/>
              <w:rPr>
                <w:rFonts w:ascii="Söhne" w:eastAsia="Times New Roman" w:hAnsi="Söhne" w:cs="Arial"/>
                <w:color w:val="000000"/>
                <w:sz w:val="16"/>
                <w:szCs w:val="16"/>
                <w:u w:val="double"/>
                <w:lang w:val="en-IE" w:bidi="en-US"/>
              </w:rPr>
            </w:pPr>
            <w:r w:rsidRPr="00983C95">
              <w:rPr>
                <w:rFonts w:ascii="Söhne" w:eastAsia="Times New Roman" w:hAnsi="Söhne" w:cs="Arial"/>
                <w:color w:val="000000"/>
                <w:sz w:val="16"/>
                <w:szCs w:val="16"/>
                <w:u w:val="double"/>
                <w:lang w:val="en-IE" w:bidi="en-US"/>
              </w:rPr>
              <w:t>200 nM</w:t>
            </w:r>
          </w:p>
        </w:tc>
        <w:tc>
          <w:tcPr>
            <w:tcW w:w="2126" w:type="dxa"/>
            <w:tcBorders>
              <w:top w:val="nil"/>
              <w:left w:val="single" w:sz="8" w:space="0" w:color="auto"/>
              <w:bottom w:val="nil"/>
              <w:right w:val="single" w:sz="8" w:space="0" w:color="auto"/>
            </w:tcBorders>
            <w:vAlign w:val="center"/>
          </w:tcPr>
          <w:p w14:paraId="2A0EC973" w14:textId="77777777" w:rsidR="00983C95" w:rsidRPr="00983C95" w:rsidRDefault="00983C95" w:rsidP="00983C95">
            <w:pPr>
              <w:spacing w:before="120" w:after="120"/>
              <w:jc w:val="center"/>
              <w:rPr>
                <w:rFonts w:ascii="Söhne" w:eastAsia="Calibri" w:hAnsi="Söhne" w:cs="Arial"/>
                <w:color w:val="000000"/>
                <w:sz w:val="16"/>
                <w:szCs w:val="16"/>
                <w:u w:val="double"/>
                <w:lang w:val="en-IE"/>
              </w:rPr>
            </w:pPr>
            <w:r w:rsidRPr="00983C95">
              <w:rPr>
                <w:rFonts w:ascii="Söhne" w:eastAsia="Calibri" w:hAnsi="Söhne" w:cs="Arial"/>
                <w:color w:val="000000"/>
                <w:sz w:val="16"/>
                <w:szCs w:val="16"/>
                <w:u w:val="double"/>
                <w:lang w:val="en-IE"/>
              </w:rPr>
              <w:t xml:space="preserve">35 cycles of: </w:t>
            </w:r>
            <w:r w:rsidRPr="00983C95">
              <w:rPr>
                <w:rFonts w:ascii="Söhne" w:eastAsia="Calibri" w:hAnsi="Söhne" w:cs="Arial"/>
                <w:color w:val="000000"/>
                <w:sz w:val="16"/>
                <w:szCs w:val="16"/>
                <w:u w:val="double"/>
                <w:lang w:val="en-IE"/>
              </w:rPr>
              <w:br/>
              <w:t>94°C/30 sec, 60°C/30 sec, and 72°C/30 sec</w:t>
            </w:r>
          </w:p>
        </w:tc>
      </w:tr>
      <w:tr w:rsidR="00983C95" w:rsidRPr="00983C95" w14:paraId="6A693E2D" w14:textId="77777777" w:rsidTr="005E584A">
        <w:trPr>
          <w:trHeight w:val="225"/>
        </w:trPr>
        <w:tc>
          <w:tcPr>
            <w:tcW w:w="96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2A6F747" w14:textId="77777777" w:rsidR="00983C95" w:rsidRPr="00983C95" w:rsidRDefault="00983C95" w:rsidP="00983C95">
            <w:pPr>
              <w:spacing w:before="120" w:after="120"/>
              <w:jc w:val="center"/>
              <w:rPr>
                <w:rFonts w:ascii="Söhne" w:eastAsia="Calibri" w:hAnsi="Söhne" w:cs="Arial"/>
                <w:color w:val="000000"/>
                <w:sz w:val="16"/>
                <w:szCs w:val="16"/>
                <w:u w:val="double"/>
                <w:lang w:val="nl-NL"/>
              </w:rPr>
            </w:pPr>
            <w:r w:rsidRPr="00983C95">
              <w:rPr>
                <w:rFonts w:ascii="Söhne" w:eastAsia="Calibri" w:hAnsi="Söhne" w:cs="Arial"/>
                <w:color w:val="000000"/>
                <w:sz w:val="16"/>
                <w:szCs w:val="16"/>
                <w:u w:val="double"/>
                <w:lang w:val="en-GB"/>
              </w:rPr>
              <w:t xml:space="preserve">Method 2* </w:t>
            </w:r>
            <w:r w:rsidRPr="00983C95">
              <w:rPr>
                <w:rFonts w:ascii="Söhne" w:eastAsia="Times New Roman" w:hAnsi="Söhne" w:cs="Arial"/>
                <w:sz w:val="16"/>
                <w:szCs w:val="16"/>
                <w:u w:val="double"/>
                <w:lang w:val="en-GB" w:bidi="en-US"/>
              </w:rPr>
              <w:t>Nunan</w:t>
            </w:r>
            <w:r w:rsidRPr="00983C95">
              <w:rPr>
                <w:rFonts w:ascii="Söhne" w:eastAsia="Times New Roman" w:hAnsi="Söhne" w:cs="Arial"/>
                <w:i/>
                <w:sz w:val="16"/>
                <w:szCs w:val="16"/>
                <w:u w:val="double"/>
                <w:lang w:val="en-GB" w:bidi="en-US"/>
              </w:rPr>
              <w:t xml:space="preserve"> et al., </w:t>
            </w:r>
            <w:r w:rsidRPr="00983C95">
              <w:rPr>
                <w:rFonts w:ascii="Söhne" w:eastAsia="Times New Roman" w:hAnsi="Söhne" w:cs="Arial"/>
                <w:sz w:val="16"/>
                <w:szCs w:val="16"/>
                <w:u w:val="double"/>
                <w:lang w:val="en-GB" w:bidi="en-US"/>
              </w:rPr>
              <w:t>2000</w:t>
            </w:r>
            <w:r w:rsidRPr="00983C95">
              <w:rPr>
                <w:rFonts w:ascii="Söhne" w:eastAsia="Arial" w:hAnsi="Söhne" w:cs="Arial"/>
                <w:color w:val="000000"/>
                <w:sz w:val="16"/>
                <w:szCs w:val="16"/>
                <w:u w:val="double"/>
                <w:lang w:val="en-GB"/>
              </w:rPr>
              <w:t xml:space="preserve">; </w:t>
            </w:r>
            <w:r w:rsidRPr="00983C95">
              <w:rPr>
                <w:rFonts w:ascii="Söhne" w:eastAsia="Calibri" w:hAnsi="Söhne" w:cs="Arial"/>
                <w:color w:val="000000"/>
                <w:sz w:val="16"/>
                <w:szCs w:val="16"/>
                <w:u w:val="double"/>
                <w:lang w:val="en-GB"/>
              </w:rPr>
              <w:t xml:space="preserve">GenBank </w:t>
            </w:r>
            <w:r w:rsidRPr="00983C95">
              <w:rPr>
                <w:rFonts w:ascii="Söhne" w:hAnsi="Söhne"/>
                <w:sz w:val="16"/>
                <w:szCs w:val="16"/>
                <w:highlight w:val="yellow"/>
                <w:u w:val="double"/>
                <w:lang w:val="en-IE"/>
              </w:rPr>
              <w:t>Accession No.:</w:t>
            </w:r>
            <w:r w:rsidRPr="00983C95">
              <w:rPr>
                <w:rFonts w:ascii="Söhne" w:eastAsia="Calibri" w:hAnsi="Söhne" w:cs="Arial"/>
                <w:sz w:val="16"/>
                <w:szCs w:val="16"/>
                <w:highlight w:val="yellow"/>
                <w:lang w:val="en-GB"/>
              </w:rPr>
              <w:t xml:space="preserve"> </w:t>
            </w:r>
            <w:r w:rsidRPr="00983C95">
              <w:rPr>
                <w:rFonts w:ascii="Söhne" w:eastAsia="Calibri" w:hAnsi="Söhne" w:cs="Arial"/>
                <w:strike/>
                <w:color w:val="000000"/>
                <w:sz w:val="16"/>
                <w:szCs w:val="16"/>
                <w:highlight w:val="yellow"/>
                <w:lang w:val="en-US"/>
              </w:rPr>
              <w:t>Acc. No</w:t>
            </w:r>
            <w:r w:rsidRPr="00983C95">
              <w:rPr>
                <w:rFonts w:ascii="Söhne" w:eastAsia="Arial" w:hAnsi="Söhne" w:cs="Arial"/>
                <w:strike/>
                <w:color w:val="000000"/>
                <w:sz w:val="16"/>
                <w:szCs w:val="16"/>
                <w:lang w:val="en-IE"/>
              </w:rPr>
              <w:t xml:space="preserve"> </w:t>
            </w:r>
            <w:r w:rsidRPr="00983C95">
              <w:rPr>
                <w:rFonts w:ascii="Söhne" w:eastAsia="Arial" w:hAnsi="Söhne" w:cs="Arial"/>
                <w:color w:val="000000"/>
                <w:sz w:val="16"/>
                <w:szCs w:val="16"/>
                <w:u w:val="double"/>
                <w:lang w:val="nl-NL"/>
              </w:rPr>
              <w:t xml:space="preserve">AF218266; </w:t>
            </w:r>
            <w:r w:rsidRPr="00983C95">
              <w:rPr>
                <w:rFonts w:ascii="Söhne" w:eastAsia="Arial" w:hAnsi="Söhne" w:cs="Arial"/>
                <w:color w:val="000000"/>
                <w:sz w:val="16"/>
                <w:szCs w:val="16"/>
                <w:highlight w:val="yellow"/>
                <w:u w:val="double"/>
                <w:lang w:val="en-IE"/>
              </w:rPr>
              <w:t>amplicon size</w:t>
            </w:r>
            <w:r w:rsidRPr="00983C95">
              <w:rPr>
                <w:rFonts w:ascii="Söhne" w:eastAsia="Arial" w:hAnsi="Söhne" w:cs="Arial"/>
                <w:color w:val="000000"/>
                <w:sz w:val="16"/>
                <w:szCs w:val="16"/>
                <w:u w:val="double"/>
                <w:lang w:val="en-IE"/>
              </w:rPr>
              <w:t xml:space="preserve"> </w:t>
            </w:r>
            <w:r w:rsidRPr="00983C95">
              <w:rPr>
                <w:rFonts w:ascii="Söhne" w:eastAsia="Arial" w:hAnsi="Söhne" w:cs="Arial"/>
                <w:color w:val="000000"/>
                <w:sz w:val="16"/>
                <w:szCs w:val="16"/>
                <w:u w:val="double"/>
                <w:lang w:val="nl-NL"/>
              </w:rPr>
              <w:t xml:space="preserve">356 </w:t>
            </w:r>
            <w:r w:rsidRPr="00983C95">
              <w:rPr>
                <w:rFonts w:ascii="Söhne" w:eastAsia="Arial" w:hAnsi="Söhne" w:cs="Arial"/>
                <w:color w:val="000000"/>
                <w:sz w:val="16"/>
                <w:szCs w:val="16"/>
                <w:u w:val="double"/>
                <w:lang w:val="en-IE"/>
              </w:rPr>
              <w:t>bp</w:t>
            </w:r>
            <w:r w:rsidRPr="00983C95">
              <w:rPr>
                <w:rFonts w:ascii="Söhne" w:eastAsia="Arial" w:hAnsi="Söhne" w:cs="Arial"/>
                <w:strike/>
                <w:color w:val="000000"/>
                <w:sz w:val="16"/>
                <w:szCs w:val="16"/>
                <w:lang w:val="en-IE"/>
              </w:rPr>
              <w:t xml:space="preserve"> </w:t>
            </w:r>
            <w:r w:rsidRPr="00983C95">
              <w:rPr>
                <w:rFonts w:ascii="Söhne" w:eastAsia="Arial" w:hAnsi="Söhne" w:cs="Arial"/>
                <w:strike/>
                <w:color w:val="000000"/>
                <w:sz w:val="16"/>
                <w:szCs w:val="16"/>
                <w:highlight w:val="yellow"/>
                <w:lang w:val="en-IE"/>
              </w:rPr>
              <w:t>product</w:t>
            </w:r>
          </w:p>
        </w:tc>
      </w:tr>
      <w:tr w:rsidR="00983C95" w:rsidRPr="00983C95" w14:paraId="3407B20F" w14:textId="77777777" w:rsidTr="005E584A">
        <w:trPr>
          <w:trHeight w:val="480"/>
        </w:trPr>
        <w:tc>
          <w:tcPr>
            <w:tcW w:w="2258" w:type="dxa"/>
            <w:tcBorders>
              <w:top w:val="single" w:sz="8" w:space="0" w:color="auto"/>
              <w:left w:val="single" w:sz="8" w:space="0" w:color="auto"/>
              <w:bottom w:val="single" w:sz="8" w:space="0" w:color="auto"/>
              <w:right w:val="single" w:sz="8" w:space="0" w:color="auto"/>
            </w:tcBorders>
            <w:vAlign w:val="center"/>
          </w:tcPr>
          <w:p w14:paraId="628326F4"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Times New Roman" w:hAnsi="Söhne" w:cs="Arial"/>
                <w:bCs/>
                <w:color w:val="000000"/>
                <w:sz w:val="16"/>
                <w:szCs w:val="16"/>
                <w:u w:val="double"/>
                <w:lang w:val="en-IE" w:bidi="en-US"/>
              </w:rPr>
              <w:t>IHHNV and IHHNV-related EVEs</w:t>
            </w:r>
            <w:r w:rsidRPr="00983C95">
              <w:rPr>
                <w:rFonts w:ascii="Söhne" w:eastAsia="Times New Roman" w:hAnsi="Söhne" w:cs="Arial"/>
                <w:bCs/>
                <w:color w:val="000000"/>
                <w:sz w:val="16"/>
                <w:szCs w:val="16"/>
                <w:u w:val="double"/>
                <w:lang w:val="en-IE" w:bidi="en-US"/>
              </w:rPr>
              <w:br/>
            </w:r>
            <w:r w:rsidRPr="00983C95">
              <w:rPr>
                <w:rFonts w:ascii="Söhne" w:eastAsia="Times New Roman" w:hAnsi="Söhne" w:cs="Times New Roman"/>
                <w:bCs/>
                <w:sz w:val="16"/>
                <w:szCs w:val="16"/>
                <w:u w:val="double"/>
                <w:lang w:val="en-IE"/>
              </w:rPr>
              <w:t>Between the non-structural and capsid protein-coding regions</w:t>
            </w:r>
          </w:p>
        </w:tc>
        <w:tc>
          <w:tcPr>
            <w:tcW w:w="3828" w:type="dxa"/>
            <w:tcBorders>
              <w:top w:val="nil"/>
              <w:left w:val="single" w:sz="8" w:space="0" w:color="auto"/>
              <w:bottom w:val="single" w:sz="8" w:space="0" w:color="auto"/>
              <w:right w:val="single" w:sz="8" w:space="0" w:color="auto"/>
            </w:tcBorders>
            <w:vAlign w:val="center"/>
          </w:tcPr>
          <w:p w14:paraId="5C7A39FA"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rPr>
              <w:t xml:space="preserve">Fwd </w:t>
            </w:r>
            <w:r w:rsidRPr="00983C95">
              <w:rPr>
                <w:rFonts w:ascii="Söhne" w:eastAsia="Times New Roman" w:hAnsi="Söhne" w:cs="Arial"/>
                <w:bCs/>
                <w:sz w:val="16"/>
                <w:szCs w:val="16"/>
                <w:u w:val="double"/>
                <w:lang w:bidi="en-US"/>
              </w:rPr>
              <w:t>77012F</w:t>
            </w:r>
            <w:r w:rsidRPr="00983C95">
              <w:rPr>
                <w:rFonts w:ascii="Söhne" w:eastAsia="Calibri" w:hAnsi="Söhne" w:cs="Arial"/>
                <w:color w:val="000000"/>
                <w:sz w:val="16"/>
                <w:szCs w:val="16"/>
                <w:u w:val="double"/>
              </w:rPr>
              <w:t xml:space="preserve">: </w:t>
            </w:r>
            <w:r w:rsidRPr="00983C95">
              <w:rPr>
                <w:rFonts w:ascii="Söhne" w:eastAsia="Calibri" w:hAnsi="Söhne" w:cs="Arial"/>
                <w:strike/>
                <w:color w:val="000000"/>
                <w:sz w:val="16"/>
                <w:szCs w:val="16"/>
                <w:highlight w:val="yellow"/>
              </w:rPr>
              <w:t>TAC-TCC-GGA-CAC-CCA-ACC-A</w:t>
            </w:r>
            <w:r w:rsidRPr="00983C95">
              <w:rPr>
                <w:rFonts w:ascii="Söhne" w:eastAsia="Calibri" w:hAnsi="Söhne" w:cs="Arial"/>
                <w:strike/>
                <w:color w:val="000000"/>
                <w:sz w:val="16"/>
                <w:szCs w:val="16"/>
                <w:highlight w:val="yellow"/>
              </w:rPr>
              <w:br/>
            </w:r>
            <w:r w:rsidRPr="00983C95">
              <w:rPr>
                <w:rFonts w:ascii="Söhne" w:eastAsia="Calibri" w:hAnsi="Söhne" w:cs="Arial"/>
                <w:color w:val="000000"/>
                <w:sz w:val="16"/>
                <w:szCs w:val="16"/>
                <w:highlight w:val="yellow"/>
                <w:u w:val="double"/>
              </w:rPr>
              <w:t>ATC-GGT-GCA-CTA-CTC-GGA</w:t>
            </w:r>
            <w:r w:rsidRPr="00983C95">
              <w:rPr>
                <w:rFonts w:ascii="Söhne" w:eastAsia="Calibri" w:hAnsi="Söhne" w:cs="Arial"/>
                <w:color w:val="000000"/>
                <w:sz w:val="16"/>
                <w:szCs w:val="16"/>
                <w:u w:val="double"/>
              </w:rPr>
              <w:br/>
            </w:r>
            <w:r w:rsidRPr="00983C95">
              <w:rPr>
                <w:rFonts w:ascii="Söhne" w:eastAsia="Calibri" w:hAnsi="Söhne" w:cs="Arial"/>
                <w:color w:val="000000"/>
                <w:sz w:val="16"/>
                <w:szCs w:val="16"/>
              </w:rPr>
              <w:t xml:space="preserve">Rev </w:t>
            </w:r>
            <w:r w:rsidRPr="00983C95">
              <w:rPr>
                <w:rFonts w:ascii="Söhne" w:eastAsia="Times New Roman" w:hAnsi="Söhne" w:cs="Arial"/>
                <w:bCs/>
                <w:sz w:val="16"/>
                <w:szCs w:val="16"/>
                <w:lang w:bidi="en-US"/>
              </w:rPr>
              <w:t>77353R</w:t>
            </w:r>
            <w:r w:rsidRPr="00983C95">
              <w:rPr>
                <w:rFonts w:ascii="Söhne" w:eastAsia="Calibri" w:hAnsi="Söhne" w:cs="Arial"/>
                <w:color w:val="000000"/>
                <w:sz w:val="16"/>
                <w:szCs w:val="16"/>
              </w:rPr>
              <w:t xml:space="preserve">: </w:t>
            </w:r>
            <w:r w:rsidRPr="00983C95">
              <w:rPr>
                <w:rFonts w:ascii="Söhne" w:eastAsia="Arial" w:hAnsi="Söhne" w:cs="Arial"/>
                <w:strike/>
                <w:color w:val="000000"/>
                <w:sz w:val="16"/>
                <w:szCs w:val="16"/>
                <w:highlight w:val="yellow"/>
              </w:rPr>
              <w:t>GGC-TCT-GGC-AGC-AAA-GGT-AA</w:t>
            </w:r>
            <w:r w:rsidRPr="00983C95">
              <w:rPr>
                <w:rFonts w:ascii="Söhne" w:eastAsia="Arial" w:hAnsi="Söhne" w:cs="Arial"/>
                <w:strike/>
                <w:color w:val="000000"/>
                <w:sz w:val="16"/>
                <w:szCs w:val="16"/>
                <w:highlight w:val="yellow"/>
                <w:u w:val="double"/>
              </w:rPr>
              <w:t xml:space="preserve"> </w:t>
            </w:r>
            <w:r w:rsidRPr="00983C95">
              <w:rPr>
                <w:rFonts w:ascii="Söhne" w:eastAsia="Arial" w:hAnsi="Söhne" w:cs="Arial"/>
                <w:color w:val="000000"/>
                <w:sz w:val="16"/>
                <w:szCs w:val="16"/>
                <w:highlight w:val="yellow"/>
                <w:u w:val="double"/>
              </w:rPr>
              <w:t>TCG-TAC-TGG-CTG-TTC-ATC</w:t>
            </w:r>
            <w:r w:rsidRPr="00983C95">
              <w:rPr>
                <w:rFonts w:ascii="Söhne" w:eastAsia="Calibri" w:hAnsi="Söhne" w:cs="Arial"/>
                <w:color w:val="000000"/>
                <w:sz w:val="16"/>
                <w:szCs w:val="16"/>
                <w:u w:val="double"/>
              </w:rPr>
              <w:t xml:space="preserve"> </w:t>
            </w:r>
          </w:p>
        </w:tc>
        <w:tc>
          <w:tcPr>
            <w:tcW w:w="1417" w:type="dxa"/>
            <w:tcBorders>
              <w:top w:val="nil"/>
              <w:left w:val="single" w:sz="8" w:space="0" w:color="auto"/>
              <w:bottom w:val="single" w:sz="8" w:space="0" w:color="auto"/>
              <w:right w:val="single" w:sz="8" w:space="0" w:color="auto"/>
            </w:tcBorders>
            <w:vAlign w:val="center"/>
          </w:tcPr>
          <w:p w14:paraId="580F15C5" w14:textId="77777777" w:rsidR="00983C95" w:rsidRPr="00983C95" w:rsidRDefault="00983C95" w:rsidP="00983C95">
            <w:pPr>
              <w:spacing w:before="120" w:after="120"/>
              <w:jc w:val="center"/>
              <w:rPr>
                <w:rFonts w:ascii="Söhne" w:eastAsia="Calibri" w:hAnsi="Söhne" w:cs="Arial"/>
                <w:color w:val="000000"/>
                <w:sz w:val="16"/>
                <w:szCs w:val="16"/>
                <w:u w:val="double"/>
                <w:lang w:val="it-IT"/>
              </w:rPr>
            </w:pPr>
            <w:r w:rsidRPr="00983C95">
              <w:rPr>
                <w:rFonts w:ascii="Söhne" w:eastAsia="Times New Roman" w:hAnsi="Söhne" w:cs="Arial"/>
                <w:color w:val="000000"/>
                <w:sz w:val="16"/>
                <w:szCs w:val="16"/>
                <w:u w:val="double"/>
                <w:lang w:val="en-IE" w:bidi="en-US"/>
              </w:rPr>
              <w:t>1000 nM</w:t>
            </w:r>
          </w:p>
        </w:tc>
        <w:tc>
          <w:tcPr>
            <w:tcW w:w="2126" w:type="dxa"/>
            <w:tcBorders>
              <w:top w:val="nil"/>
              <w:left w:val="single" w:sz="8" w:space="0" w:color="auto"/>
              <w:bottom w:val="single" w:sz="8" w:space="0" w:color="auto"/>
              <w:right w:val="single" w:sz="8" w:space="0" w:color="auto"/>
            </w:tcBorders>
            <w:vAlign w:val="center"/>
          </w:tcPr>
          <w:p w14:paraId="55C2FA43"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IE"/>
              </w:rPr>
              <w:t>35 cycles of:</w:t>
            </w:r>
            <w:r w:rsidRPr="00983C95">
              <w:rPr>
                <w:rFonts w:ascii="Söhne" w:eastAsia="Calibri" w:hAnsi="Söhne" w:cs="Arial"/>
                <w:color w:val="000000"/>
                <w:sz w:val="16"/>
                <w:szCs w:val="16"/>
                <w:u w:val="double"/>
                <w:lang w:val="en-IE"/>
              </w:rPr>
              <w:br/>
              <w:t>95°C/30 sec, 60°C/30 sec, and 72°C/30 sec</w:t>
            </w:r>
          </w:p>
        </w:tc>
      </w:tr>
      <w:tr w:rsidR="00983C95" w:rsidRPr="00983C95" w14:paraId="0293CD02" w14:textId="77777777" w:rsidTr="005E584A">
        <w:trPr>
          <w:trHeight w:val="225"/>
        </w:trPr>
        <w:tc>
          <w:tcPr>
            <w:tcW w:w="96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646BB7F"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GB"/>
              </w:rPr>
              <w:t xml:space="preserve">Method 3* </w:t>
            </w:r>
            <w:r w:rsidRPr="00983C95">
              <w:rPr>
                <w:rFonts w:ascii="Söhne" w:eastAsia="Times New Roman" w:hAnsi="Söhne" w:cs="Arial"/>
                <w:sz w:val="16"/>
                <w:szCs w:val="16"/>
                <w:u w:val="double"/>
                <w:lang w:val="en-GB" w:bidi="en-US"/>
              </w:rPr>
              <w:t xml:space="preserve">Tang </w:t>
            </w:r>
            <w:r w:rsidRPr="00983C95">
              <w:rPr>
                <w:rFonts w:ascii="Söhne" w:eastAsia="Times New Roman" w:hAnsi="Söhne" w:cs="Arial"/>
                <w:i/>
                <w:sz w:val="16"/>
                <w:szCs w:val="16"/>
                <w:u w:val="double"/>
                <w:lang w:val="en-GB" w:bidi="en-US"/>
              </w:rPr>
              <w:t>et al.,</w:t>
            </w:r>
            <w:r w:rsidRPr="00983C95">
              <w:rPr>
                <w:rFonts w:ascii="Söhne" w:eastAsia="Times New Roman" w:hAnsi="Söhne" w:cs="Arial"/>
                <w:sz w:val="16"/>
                <w:szCs w:val="16"/>
                <w:u w:val="double"/>
                <w:lang w:val="en-GB" w:bidi="en-US"/>
              </w:rPr>
              <w:t xml:space="preserve"> 2000</w:t>
            </w:r>
            <w:r w:rsidRPr="00983C95">
              <w:rPr>
                <w:rFonts w:ascii="Söhne" w:eastAsia="Arial" w:hAnsi="Söhne" w:cs="Arial"/>
                <w:color w:val="000000"/>
                <w:sz w:val="16"/>
                <w:szCs w:val="16"/>
                <w:u w:val="double"/>
                <w:lang w:val="en-GB"/>
              </w:rPr>
              <w:t xml:space="preserve">; </w:t>
            </w:r>
            <w:r w:rsidRPr="00983C95">
              <w:rPr>
                <w:rFonts w:ascii="Söhne" w:eastAsia="Calibri" w:hAnsi="Söhne" w:cs="Arial"/>
                <w:color w:val="000000"/>
                <w:sz w:val="16"/>
                <w:szCs w:val="16"/>
                <w:u w:val="double"/>
                <w:lang w:val="en-GB"/>
              </w:rPr>
              <w:t xml:space="preserve">GenBank </w:t>
            </w:r>
            <w:r w:rsidRPr="00983C95">
              <w:rPr>
                <w:rFonts w:ascii="Söhne" w:hAnsi="Söhne"/>
                <w:sz w:val="16"/>
                <w:szCs w:val="16"/>
                <w:highlight w:val="yellow"/>
                <w:u w:val="double"/>
                <w:lang w:val="en-IE"/>
              </w:rPr>
              <w:t>Accession No.:</w:t>
            </w:r>
            <w:r w:rsidRPr="00983C95">
              <w:rPr>
                <w:rFonts w:ascii="Söhne" w:eastAsia="Calibri" w:hAnsi="Söhne" w:cs="Arial"/>
                <w:sz w:val="16"/>
                <w:szCs w:val="16"/>
                <w:highlight w:val="yellow"/>
                <w:lang w:val="en-GB"/>
              </w:rPr>
              <w:t xml:space="preserve"> </w:t>
            </w:r>
            <w:r w:rsidRPr="00983C95">
              <w:rPr>
                <w:rFonts w:ascii="Söhne" w:eastAsia="Calibri" w:hAnsi="Söhne" w:cs="Arial"/>
                <w:strike/>
                <w:color w:val="000000"/>
                <w:sz w:val="16"/>
                <w:szCs w:val="16"/>
                <w:highlight w:val="yellow"/>
                <w:lang w:val="en-US"/>
              </w:rPr>
              <w:t>Acc. No</w:t>
            </w:r>
            <w:r w:rsidRPr="00983C95">
              <w:rPr>
                <w:rFonts w:ascii="Söhne" w:eastAsia="Arial" w:hAnsi="Söhne" w:cs="Arial"/>
                <w:strike/>
                <w:color w:val="000000"/>
                <w:sz w:val="16"/>
                <w:szCs w:val="16"/>
                <w:lang w:val="en-IE"/>
              </w:rPr>
              <w:t xml:space="preserve"> </w:t>
            </w:r>
            <w:r w:rsidRPr="00983C95">
              <w:rPr>
                <w:rFonts w:ascii="Söhne" w:eastAsia="Arial" w:hAnsi="Söhne" w:cs="Arial"/>
                <w:color w:val="000000"/>
                <w:sz w:val="16"/>
                <w:szCs w:val="16"/>
                <w:u w:val="double"/>
                <w:lang w:val="en-IE"/>
              </w:rPr>
              <w:t xml:space="preserve">AF218266; </w:t>
            </w:r>
            <w:r w:rsidRPr="00983C95">
              <w:rPr>
                <w:rFonts w:ascii="Söhne" w:eastAsia="Arial" w:hAnsi="Söhne" w:cs="Arial"/>
                <w:color w:val="000000"/>
                <w:sz w:val="16"/>
                <w:szCs w:val="16"/>
                <w:highlight w:val="yellow"/>
                <w:u w:val="double"/>
                <w:lang w:val="en-IE"/>
              </w:rPr>
              <w:t>amplicon size</w:t>
            </w:r>
            <w:r w:rsidRPr="00983C95">
              <w:rPr>
                <w:rFonts w:ascii="Söhne" w:eastAsia="Arial" w:hAnsi="Söhne" w:cs="Arial"/>
                <w:color w:val="000000"/>
                <w:sz w:val="16"/>
                <w:szCs w:val="16"/>
                <w:u w:val="double"/>
                <w:lang w:val="en-IE"/>
              </w:rPr>
              <w:t xml:space="preserve"> 392 bp</w:t>
            </w:r>
            <w:r w:rsidRPr="00983C95">
              <w:rPr>
                <w:rFonts w:ascii="Söhne" w:eastAsia="Arial" w:hAnsi="Söhne" w:cs="Arial"/>
                <w:strike/>
                <w:color w:val="000000"/>
                <w:sz w:val="16"/>
                <w:szCs w:val="16"/>
                <w:lang w:val="en-IE"/>
              </w:rPr>
              <w:t xml:space="preserve"> </w:t>
            </w:r>
            <w:r w:rsidRPr="00983C95">
              <w:rPr>
                <w:rFonts w:ascii="Söhne" w:eastAsia="Arial" w:hAnsi="Söhne" w:cs="Arial"/>
                <w:strike/>
                <w:color w:val="000000"/>
                <w:sz w:val="16"/>
                <w:szCs w:val="16"/>
                <w:highlight w:val="yellow"/>
                <w:lang w:val="en-IE"/>
              </w:rPr>
              <w:t>product</w:t>
            </w:r>
          </w:p>
        </w:tc>
      </w:tr>
      <w:tr w:rsidR="00983C95" w:rsidRPr="00983C95" w14:paraId="0126709C" w14:textId="77777777" w:rsidTr="005E584A">
        <w:trPr>
          <w:trHeight w:val="480"/>
        </w:trPr>
        <w:tc>
          <w:tcPr>
            <w:tcW w:w="2258" w:type="dxa"/>
            <w:tcBorders>
              <w:top w:val="single" w:sz="8" w:space="0" w:color="auto"/>
              <w:left w:val="single" w:sz="8" w:space="0" w:color="auto"/>
              <w:bottom w:val="single" w:sz="8" w:space="0" w:color="auto"/>
              <w:right w:val="single" w:sz="8" w:space="0" w:color="auto"/>
            </w:tcBorders>
            <w:vAlign w:val="center"/>
          </w:tcPr>
          <w:p w14:paraId="7B2C7F58" w14:textId="77777777" w:rsidR="00983C95" w:rsidRPr="00983C95" w:rsidRDefault="00983C95" w:rsidP="00983C95">
            <w:pPr>
              <w:spacing w:before="120" w:after="120"/>
              <w:jc w:val="center"/>
              <w:rPr>
                <w:rFonts w:ascii="Söhne" w:eastAsia="Times New Roman" w:hAnsi="Söhne" w:cs="Arial"/>
                <w:bCs/>
                <w:color w:val="000000"/>
                <w:sz w:val="16"/>
                <w:szCs w:val="16"/>
                <w:u w:val="double"/>
                <w:lang w:val="en-IE" w:bidi="en-US"/>
              </w:rPr>
            </w:pPr>
            <w:r w:rsidRPr="00983C95">
              <w:rPr>
                <w:rFonts w:ascii="Söhne" w:eastAsia="Times New Roman" w:hAnsi="Söhne" w:cs="Arial"/>
                <w:bCs/>
                <w:color w:val="000000"/>
                <w:sz w:val="16"/>
                <w:szCs w:val="16"/>
                <w:u w:val="double"/>
                <w:lang w:val="en-IE" w:bidi="en-US"/>
              </w:rPr>
              <w:t>IHHNV and IHHNV-related EVEs</w:t>
            </w:r>
            <w:r w:rsidRPr="00983C95">
              <w:rPr>
                <w:rFonts w:ascii="Söhne" w:eastAsia="Times New Roman" w:hAnsi="Söhne" w:cs="Arial"/>
                <w:bCs/>
                <w:color w:val="000000"/>
                <w:sz w:val="16"/>
                <w:szCs w:val="16"/>
                <w:u w:val="double"/>
                <w:lang w:val="en-IE" w:bidi="en-US"/>
              </w:rPr>
              <w:br/>
            </w:r>
            <w:r w:rsidRPr="00983C95">
              <w:rPr>
                <w:rFonts w:ascii="Söhne" w:eastAsia="Times New Roman" w:hAnsi="Söhne" w:cs="Times New Roman"/>
                <w:bCs/>
                <w:sz w:val="16"/>
                <w:szCs w:val="16"/>
                <w:u w:val="double"/>
                <w:lang w:val="en-IE"/>
              </w:rPr>
              <w:t>Non-structural protein</w:t>
            </w:r>
          </w:p>
        </w:tc>
        <w:tc>
          <w:tcPr>
            <w:tcW w:w="3828" w:type="dxa"/>
            <w:tcBorders>
              <w:top w:val="nil"/>
              <w:left w:val="single" w:sz="8" w:space="0" w:color="auto"/>
              <w:bottom w:val="single" w:sz="8" w:space="0" w:color="auto"/>
              <w:right w:val="single" w:sz="8" w:space="0" w:color="auto"/>
            </w:tcBorders>
            <w:vAlign w:val="center"/>
          </w:tcPr>
          <w:p w14:paraId="751E46F5" w14:textId="77777777" w:rsidR="00983C95" w:rsidRPr="00983C95" w:rsidRDefault="00983C95" w:rsidP="00983C95">
            <w:pPr>
              <w:spacing w:before="120" w:after="120"/>
              <w:jc w:val="center"/>
              <w:rPr>
                <w:rFonts w:ascii="Söhne" w:eastAsia="Times New Roman" w:hAnsi="Söhne" w:cs="Arial"/>
                <w:bCs/>
                <w:color w:val="000000"/>
                <w:sz w:val="16"/>
                <w:szCs w:val="16"/>
                <w:u w:val="double"/>
                <w:lang w:val="en-IE" w:bidi="en-US"/>
              </w:rPr>
            </w:pPr>
            <w:r w:rsidRPr="00983C95">
              <w:rPr>
                <w:rFonts w:ascii="Söhne" w:eastAsia="Times New Roman" w:hAnsi="Söhne" w:cs="Arial"/>
                <w:bCs/>
                <w:color w:val="000000"/>
                <w:sz w:val="16"/>
                <w:szCs w:val="16"/>
                <w:u w:val="double"/>
                <w:lang w:val="en-IE" w:bidi="en-US"/>
              </w:rPr>
              <w:t>Fwd 392F: GGG-CGA-ACC-AGA-ATC-ACT-TA</w:t>
            </w:r>
            <w:r w:rsidRPr="00983C95">
              <w:rPr>
                <w:rFonts w:ascii="Söhne" w:eastAsia="Times New Roman" w:hAnsi="Söhne" w:cs="Arial"/>
                <w:bCs/>
                <w:color w:val="000000"/>
                <w:sz w:val="16"/>
                <w:szCs w:val="16"/>
                <w:u w:val="double"/>
                <w:lang w:val="en-IE" w:bidi="en-US"/>
              </w:rPr>
              <w:br/>
              <w:t>Rev 392R: ATC-CGG-AGG-AAT-CTG-ATG-TG</w:t>
            </w:r>
          </w:p>
        </w:tc>
        <w:tc>
          <w:tcPr>
            <w:tcW w:w="1417" w:type="dxa"/>
            <w:tcBorders>
              <w:top w:val="nil"/>
              <w:left w:val="single" w:sz="8" w:space="0" w:color="auto"/>
              <w:bottom w:val="single" w:sz="8" w:space="0" w:color="auto"/>
              <w:right w:val="single" w:sz="8" w:space="0" w:color="auto"/>
            </w:tcBorders>
            <w:vAlign w:val="center"/>
          </w:tcPr>
          <w:p w14:paraId="25951CD1"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rPr>
              <w:t>300 nM</w:t>
            </w:r>
          </w:p>
        </w:tc>
        <w:tc>
          <w:tcPr>
            <w:tcW w:w="2126" w:type="dxa"/>
            <w:tcBorders>
              <w:top w:val="nil"/>
              <w:left w:val="single" w:sz="8" w:space="0" w:color="auto"/>
              <w:bottom w:val="single" w:sz="8" w:space="0" w:color="auto"/>
              <w:right w:val="single" w:sz="8" w:space="0" w:color="auto"/>
            </w:tcBorders>
            <w:vAlign w:val="center"/>
          </w:tcPr>
          <w:p w14:paraId="647F427C"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IE"/>
              </w:rPr>
              <w:t>35 cycles of:</w:t>
            </w:r>
            <w:r w:rsidRPr="00983C95">
              <w:rPr>
                <w:rFonts w:ascii="Söhne" w:eastAsia="Calibri" w:hAnsi="Söhne" w:cs="Arial"/>
                <w:color w:val="000000"/>
                <w:sz w:val="16"/>
                <w:szCs w:val="16"/>
                <w:u w:val="double"/>
                <w:lang w:val="en-IE"/>
              </w:rPr>
              <w:br/>
              <w:t>95°C/30 sec, 60°C/30 sec, and 72°C/30 sec</w:t>
            </w:r>
          </w:p>
        </w:tc>
      </w:tr>
      <w:tr w:rsidR="00983C95" w:rsidRPr="00983C95" w14:paraId="271E18D8" w14:textId="77777777" w:rsidTr="005E584A">
        <w:trPr>
          <w:trHeight w:val="225"/>
        </w:trPr>
        <w:tc>
          <w:tcPr>
            <w:tcW w:w="96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ABAB0D1"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GB"/>
              </w:rPr>
              <w:t xml:space="preserve">Method 4 </w:t>
            </w:r>
            <w:r w:rsidRPr="00983C95">
              <w:rPr>
                <w:rFonts w:ascii="Söhne" w:eastAsia="Times New Roman" w:hAnsi="Söhne" w:cs="Arial"/>
                <w:sz w:val="16"/>
                <w:szCs w:val="16"/>
                <w:u w:val="double"/>
                <w:lang w:val="en-GB" w:bidi="en-US"/>
              </w:rPr>
              <w:t xml:space="preserve">Tang </w:t>
            </w:r>
            <w:r w:rsidRPr="00983C95">
              <w:rPr>
                <w:rFonts w:ascii="Söhne" w:eastAsia="Times New Roman" w:hAnsi="Söhne" w:cs="Arial"/>
                <w:i/>
                <w:sz w:val="16"/>
                <w:szCs w:val="16"/>
                <w:u w:val="double"/>
                <w:lang w:val="en-GB" w:bidi="en-US"/>
              </w:rPr>
              <w:t>et al.,</w:t>
            </w:r>
            <w:r w:rsidRPr="00983C95">
              <w:rPr>
                <w:rFonts w:ascii="Söhne" w:eastAsia="Times New Roman" w:hAnsi="Söhne" w:cs="Arial"/>
                <w:sz w:val="16"/>
                <w:szCs w:val="16"/>
                <w:u w:val="double"/>
                <w:lang w:val="en-GB" w:bidi="en-US"/>
              </w:rPr>
              <w:t xml:space="preserve"> 2007</w:t>
            </w:r>
            <w:r w:rsidRPr="00983C95">
              <w:rPr>
                <w:rFonts w:ascii="Söhne" w:eastAsia="Arial" w:hAnsi="Söhne" w:cs="Arial"/>
                <w:color w:val="000000"/>
                <w:sz w:val="16"/>
                <w:szCs w:val="16"/>
                <w:u w:val="double"/>
                <w:lang w:val="en-GB"/>
              </w:rPr>
              <w:t xml:space="preserve">; </w:t>
            </w:r>
            <w:r w:rsidRPr="00983C95">
              <w:rPr>
                <w:rFonts w:ascii="Söhne" w:eastAsia="Calibri" w:hAnsi="Söhne" w:cs="Arial"/>
                <w:color w:val="000000"/>
                <w:sz w:val="16"/>
                <w:szCs w:val="16"/>
                <w:u w:val="double"/>
                <w:lang w:val="en-GB"/>
              </w:rPr>
              <w:t xml:space="preserve">GenBank </w:t>
            </w:r>
            <w:r w:rsidRPr="00983C95">
              <w:rPr>
                <w:rFonts w:ascii="Söhne" w:hAnsi="Söhne"/>
                <w:sz w:val="16"/>
                <w:szCs w:val="16"/>
                <w:highlight w:val="yellow"/>
                <w:u w:val="double"/>
                <w:lang w:val="en-IE"/>
              </w:rPr>
              <w:t>Accession No.:</w:t>
            </w:r>
            <w:r w:rsidRPr="00983C95">
              <w:rPr>
                <w:rFonts w:ascii="Söhne" w:eastAsia="Calibri" w:hAnsi="Söhne" w:cs="Arial"/>
                <w:sz w:val="16"/>
                <w:szCs w:val="16"/>
                <w:highlight w:val="yellow"/>
                <w:lang w:val="en-GB"/>
              </w:rPr>
              <w:t xml:space="preserve"> </w:t>
            </w:r>
            <w:r w:rsidRPr="00983C95">
              <w:rPr>
                <w:rFonts w:ascii="Söhne" w:eastAsia="Calibri" w:hAnsi="Söhne" w:cs="Arial"/>
                <w:strike/>
                <w:color w:val="000000"/>
                <w:sz w:val="16"/>
                <w:szCs w:val="16"/>
                <w:highlight w:val="yellow"/>
                <w:lang w:val="en-US"/>
              </w:rPr>
              <w:t>Acc. No</w:t>
            </w:r>
            <w:r w:rsidRPr="00983C95">
              <w:rPr>
                <w:rFonts w:ascii="Söhne" w:eastAsia="Arial" w:hAnsi="Söhne" w:cs="Arial"/>
                <w:strike/>
                <w:color w:val="000000"/>
                <w:sz w:val="16"/>
                <w:szCs w:val="16"/>
                <w:lang w:val="en-IE"/>
              </w:rPr>
              <w:t xml:space="preserve"> </w:t>
            </w:r>
            <w:r w:rsidRPr="00983C95">
              <w:rPr>
                <w:rFonts w:ascii="Söhne" w:eastAsia="Arial" w:hAnsi="Söhne" w:cs="Arial"/>
                <w:color w:val="000000"/>
                <w:sz w:val="16"/>
                <w:szCs w:val="16"/>
                <w:u w:val="double"/>
                <w:lang w:val="en-IE"/>
              </w:rPr>
              <w:t xml:space="preserve">AF218266; </w:t>
            </w:r>
            <w:r w:rsidRPr="00983C95">
              <w:rPr>
                <w:rFonts w:ascii="Söhne" w:eastAsia="Arial" w:hAnsi="Söhne" w:cs="Arial"/>
                <w:color w:val="000000"/>
                <w:sz w:val="16"/>
                <w:szCs w:val="16"/>
                <w:highlight w:val="yellow"/>
                <w:u w:val="double"/>
                <w:lang w:val="en-IE"/>
              </w:rPr>
              <w:t>amplicon size</w:t>
            </w:r>
            <w:r w:rsidRPr="00983C95">
              <w:rPr>
                <w:rFonts w:ascii="Söhne" w:eastAsia="Arial" w:hAnsi="Söhne" w:cs="Arial"/>
                <w:color w:val="000000"/>
                <w:sz w:val="16"/>
                <w:szCs w:val="16"/>
                <w:u w:val="double"/>
                <w:lang w:val="en-IE"/>
              </w:rPr>
              <w:t xml:space="preserve"> 309 bp</w:t>
            </w:r>
            <w:r w:rsidRPr="00983C95">
              <w:rPr>
                <w:rFonts w:ascii="Söhne" w:eastAsia="Arial" w:hAnsi="Söhne" w:cs="Arial"/>
                <w:strike/>
                <w:color w:val="000000"/>
                <w:sz w:val="16"/>
                <w:szCs w:val="16"/>
                <w:lang w:val="en-IE"/>
              </w:rPr>
              <w:t xml:space="preserve"> </w:t>
            </w:r>
            <w:r w:rsidRPr="00983C95">
              <w:rPr>
                <w:rFonts w:ascii="Söhne" w:eastAsia="Arial" w:hAnsi="Söhne" w:cs="Arial"/>
                <w:strike/>
                <w:color w:val="000000"/>
                <w:sz w:val="16"/>
                <w:szCs w:val="16"/>
                <w:highlight w:val="yellow"/>
                <w:lang w:val="en-IE"/>
              </w:rPr>
              <w:t>product</w:t>
            </w:r>
          </w:p>
        </w:tc>
      </w:tr>
      <w:tr w:rsidR="00983C95" w:rsidRPr="00983C95" w14:paraId="42641F90" w14:textId="77777777" w:rsidTr="005E584A">
        <w:trPr>
          <w:trHeight w:val="480"/>
        </w:trPr>
        <w:tc>
          <w:tcPr>
            <w:tcW w:w="2258" w:type="dxa"/>
            <w:tcBorders>
              <w:top w:val="single" w:sz="8" w:space="0" w:color="auto"/>
              <w:left w:val="single" w:sz="8" w:space="0" w:color="auto"/>
              <w:bottom w:val="single" w:sz="8" w:space="0" w:color="auto"/>
              <w:right w:val="single" w:sz="8" w:space="0" w:color="auto"/>
            </w:tcBorders>
            <w:vAlign w:val="center"/>
          </w:tcPr>
          <w:p w14:paraId="48ABF062" w14:textId="77777777" w:rsidR="00983C95" w:rsidRPr="00983C95" w:rsidRDefault="00983C95" w:rsidP="00983C95">
            <w:pPr>
              <w:spacing w:before="120" w:after="120"/>
              <w:jc w:val="center"/>
              <w:rPr>
                <w:rFonts w:ascii="Söhne" w:eastAsia="Times New Roman" w:hAnsi="Söhne" w:cs="Arial"/>
                <w:bCs/>
                <w:color w:val="000000"/>
                <w:sz w:val="16"/>
                <w:szCs w:val="16"/>
                <w:u w:val="double"/>
                <w:lang w:val="en-IE" w:bidi="en-US"/>
              </w:rPr>
            </w:pPr>
            <w:r w:rsidRPr="00983C95">
              <w:rPr>
                <w:rFonts w:ascii="Söhne" w:eastAsia="Times New Roman" w:hAnsi="Söhne" w:cs="Arial"/>
                <w:bCs/>
                <w:color w:val="000000"/>
                <w:sz w:val="16"/>
                <w:szCs w:val="16"/>
                <w:u w:val="double"/>
                <w:lang w:val="en-IE" w:bidi="en-US"/>
              </w:rPr>
              <w:t>IHHNV</w:t>
            </w:r>
            <w:r w:rsidRPr="00983C95">
              <w:rPr>
                <w:rFonts w:ascii="Söhne" w:eastAsia="Times New Roman" w:hAnsi="Söhne" w:cs="Arial"/>
                <w:bCs/>
                <w:color w:val="000000"/>
                <w:sz w:val="16"/>
                <w:szCs w:val="16"/>
                <w:u w:val="double"/>
                <w:lang w:val="en-IE" w:bidi="en-US"/>
              </w:rPr>
              <w:br/>
              <w:t>ORF1</w:t>
            </w:r>
          </w:p>
        </w:tc>
        <w:tc>
          <w:tcPr>
            <w:tcW w:w="3828" w:type="dxa"/>
            <w:tcBorders>
              <w:top w:val="nil"/>
              <w:left w:val="single" w:sz="8" w:space="0" w:color="auto"/>
              <w:bottom w:val="single" w:sz="8" w:space="0" w:color="auto"/>
              <w:right w:val="single" w:sz="8" w:space="0" w:color="auto"/>
            </w:tcBorders>
            <w:vAlign w:val="center"/>
          </w:tcPr>
          <w:p w14:paraId="0731B83F" w14:textId="77777777" w:rsidR="00983C95" w:rsidRPr="00983C95" w:rsidRDefault="00983C95" w:rsidP="00983C95">
            <w:pPr>
              <w:spacing w:before="120" w:after="120"/>
              <w:jc w:val="center"/>
              <w:rPr>
                <w:rFonts w:ascii="Söhne" w:eastAsia="Times New Roman" w:hAnsi="Söhne" w:cs="Arial"/>
                <w:bCs/>
                <w:color w:val="000000"/>
                <w:sz w:val="16"/>
                <w:szCs w:val="16"/>
                <w:u w:val="double"/>
                <w:lang w:val="en-IE" w:bidi="en-US"/>
              </w:rPr>
            </w:pPr>
            <w:r w:rsidRPr="00983C95">
              <w:rPr>
                <w:rFonts w:ascii="Söhne" w:eastAsia="Times New Roman" w:hAnsi="Söhne" w:cs="Arial"/>
                <w:bCs/>
                <w:color w:val="000000"/>
                <w:sz w:val="16"/>
                <w:szCs w:val="16"/>
                <w:u w:val="double"/>
                <w:lang w:val="en-IE" w:bidi="en-US"/>
              </w:rPr>
              <w:t xml:space="preserve">Fwd 309F: </w:t>
            </w:r>
            <w:r w:rsidRPr="00983C95">
              <w:rPr>
                <w:rFonts w:ascii="Söhne" w:eastAsia="Times New Roman" w:hAnsi="Söhne" w:cs="Arial"/>
                <w:bCs/>
                <w:sz w:val="16"/>
                <w:szCs w:val="16"/>
                <w:u w:val="double"/>
                <w:lang w:val="en-IE" w:bidi="en-US"/>
              </w:rPr>
              <w:t>TCC-AAC-ACT-TAG-TCA-AAA-CCA-A</w:t>
            </w:r>
            <w:r w:rsidRPr="00983C95">
              <w:rPr>
                <w:rFonts w:ascii="Söhne" w:eastAsia="Times New Roman" w:hAnsi="Söhne" w:cs="Arial"/>
                <w:bCs/>
                <w:color w:val="000000"/>
                <w:sz w:val="16"/>
                <w:szCs w:val="16"/>
                <w:u w:val="double"/>
                <w:lang w:val="en-IE" w:bidi="en-US"/>
              </w:rPr>
              <w:br/>
              <w:t xml:space="preserve">Rev 309R: </w:t>
            </w:r>
            <w:r w:rsidRPr="00983C95">
              <w:rPr>
                <w:rFonts w:ascii="Söhne" w:eastAsia="Times New Roman" w:hAnsi="Söhne" w:cs="Arial"/>
                <w:bCs/>
                <w:sz w:val="16"/>
                <w:szCs w:val="16"/>
                <w:u w:val="double"/>
                <w:lang w:val="en-IE" w:bidi="en-US"/>
              </w:rPr>
              <w:t>TGT-CTG-CTA-CGA-TGA-TTA-TCC-A</w:t>
            </w:r>
          </w:p>
        </w:tc>
        <w:tc>
          <w:tcPr>
            <w:tcW w:w="1417" w:type="dxa"/>
            <w:tcBorders>
              <w:top w:val="nil"/>
              <w:left w:val="single" w:sz="8" w:space="0" w:color="auto"/>
              <w:bottom w:val="single" w:sz="8" w:space="0" w:color="auto"/>
              <w:right w:val="single" w:sz="8" w:space="0" w:color="auto"/>
            </w:tcBorders>
            <w:vAlign w:val="center"/>
          </w:tcPr>
          <w:p w14:paraId="1975F7CB"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rPr>
              <w:t>200 nM</w:t>
            </w:r>
          </w:p>
        </w:tc>
        <w:tc>
          <w:tcPr>
            <w:tcW w:w="2126" w:type="dxa"/>
            <w:tcBorders>
              <w:top w:val="nil"/>
              <w:left w:val="single" w:sz="8" w:space="0" w:color="auto"/>
              <w:bottom w:val="single" w:sz="8" w:space="0" w:color="auto"/>
              <w:right w:val="single" w:sz="8" w:space="0" w:color="auto"/>
            </w:tcBorders>
            <w:vAlign w:val="center"/>
          </w:tcPr>
          <w:p w14:paraId="5DAFF558" w14:textId="77777777" w:rsidR="00983C95" w:rsidRPr="00983C95" w:rsidRDefault="00983C95" w:rsidP="00983C95">
            <w:pPr>
              <w:spacing w:before="120" w:after="120"/>
              <w:jc w:val="center"/>
              <w:rPr>
                <w:rFonts w:ascii="Söhne" w:eastAsia="Calibri" w:hAnsi="Söhne" w:cs="Arial"/>
                <w:color w:val="000000"/>
                <w:sz w:val="16"/>
                <w:szCs w:val="16"/>
                <w:u w:val="double"/>
              </w:rPr>
            </w:pPr>
            <w:r w:rsidRPr="00983C95">
              <w:rPr>
                <w:rFonts w:ascii="Söhne" w:eastAsia="Calibri" w:hAnsi="Söhne" w:cs="Arial"/>
                <w:color w:val="000000"/>
                <w:sz w:val="16"/>
                <w:szCs w:val="16"/>
                <w:u w:val="double"/>
                <w:lang w:val="en-IE"/>
              </w:rPr>
              <w:t>35 cycles of:</w:t>
            </w:r>
            <w:r w:rsidRPr="00983C95">
              <w:rPr>
                <w:rFonts w:ascii="Söhne" w:eastAsia="Calibri" w:hAnsi="Söhne" w:cs="Arial"/>
                <w:color w:val="000000"/>
                <w:sz w:val="16"/>
                <w:szCs w:val="16"/>
                <w:u w:val="double"/>
                <w:lang w:val="en-IE"/>
              </w:rPr>
              <w:br/>
              <w:t>94°C/30 sec, 55°C/30 sec, and 72°C/30 sec</w:t>
            </w:r>
          </w:p>
        </w:tc>
      </w:tr>
    </w:tbl>
    <w:p w14:paraId="161BB50D" w14:textId="77777777" w:rsidR="00983C95" w:rsidRPr="00983C95" w:rsidRDefault="00983C95" w:rsidP="00983C95">
      <w:pPr>
        <w:spacing w:before="120" w:after="240"/>
        <w:jc w:val="center"/>
        <w:rPr>
          <w:rFonts w:ascii="Söhne" w:eastAsia="Calibri" w:hAnsi="Söhne" w:cs="Calibri"/>
          <w:i/>
          <w:iCs/>
          <w:sz w:val="16"/>
          <w:szCs w:val="16"/>
          <w:u w:val="double"/>
          <w:lang w:val="en-IE"/>
        </w:rPr>
      </w:pPr>
      <w:r w:rsidRPr="00983C95">
        <w:rPr>
          <w:rFonts w:ascii="Söhne" w:eastAsia="Calibri" w:hAnsi="Söhne" w:cs="Calibri"/>
          <w:b/>
          <w:bCs/>
          <w:i/>
          <w:iCs/>
          <w:sz w:val="16"/>
          <w:szCs w:val="16"/>
          <w:u w:val="double"/>
          <w:lang w:val="en-IE"/>
        </w:rPr>
        <w:t xml:space="preserve">*NOTE – </w:t>
      </w:r>
      <w:r w:rsidRPr="00983C95">
        <w:rPr>
          <w:rFonts w:ascii="Söhne" w:eastAsia="Calibri" w:hAnsi="Söhne" w:cs="Calibri"/>
          <w:i/>
          <w:iCs/>
          <w:sz w:val="16"/>
          <w:szCs w:val="16"/>
          <w:u w:val="double"/>
          <w:lang w:val="en-IE"/>
        </w:rPr>
        <w:t xml:space="preserve">these methods will amplify EVEs within the genome of </w:t>
      </w:r>
      <w:r w:rsidRPr="00983C95">
        <w:rPr>
          <w:rFonts w:ascii="Söhne" w:eastAsia="Calibri" w:hAnsi="Söhne" w:cs="Calibri"/>
          <w:sz w:val="16"/>
          <w:szCs w:val="16"/>
          <w:u w:val="double"/>
          <w:lang w:val="en-IE"/>
        </w:rPr>
        <w:t>P. monodon</w:t>
      </w:r>
      <w:r w:rsidRPr="00983C95">
        <w:rPr>
          <w:rFonts w:ascii="Söhne" w:eastAsia="Calibri" w:hAnsi="Söhne" w:cs="Calibri"/>
          <w:i/>
          <w:iCs/>
          <w:sz w:val="16"/>
          <w:szCs w:val="16"/>
          <w:u w:val="double"/>
          <w:lang w:val="en-IE"/>
        </w:rPr>
        <w:t>. Positive results in this species must be confirmed by a method that does not react with IHHNV EVEs.</w:t>
      </w:r>
    </w:p>
    <w:tbl>
      <w:tblPr>
        <w:tblW w:w="10483" w:type="dxa"/>
        <w:tblInd w:w="-560" w:type="dxa"/>
        <w:tblLayout w:type="fixed"/>
        <w:tblCellMar>
          <w:left w:w="70" w:type="dxa"/>
          <w:right w:w="70" w:type="dxa"/>
        </w:tblCellMar>
        <w:tblLook w:val="0000" w:firstRow="0" w:lastRow="0" w:firstColumn="0" w:lastColumn="0" w:noHBand="0" w:noVBand="0"/>
      </w:tblPr>
      <w:tblGrid>
        <w:gridCol w:w="1113"/>
        <w:gridCol w:w="875"/>
        <w:gridCol w:w="2923"/>
        <w:gridCol w:w="1134"/>
        <w:gridCol w:w="1610"/>
        <w:gridCol w:w="2828"/>
      </w:tblGrid>
      <w:tr w:rsidR="00983C95" w:rsidRPr="00983C95" w14:paraId="478FDE9B" w14:textId="77777777" w:rsidTr="005E584A">
        <w:trPr>
          <w:tblHeader/>
        </w:trPr>
        <w:tc>
          <w:tcPr>
            <w:tcW w:w="1113" w:type="dxa"/>
            <w:tcBorders>
              <w:top w:val="single" w:sz="6" w:space="0" w:color="auto"/>
              <w:bottom w:val="single" w:sz="6" w:space="0" w:color="auto"/>
            </w:tcBorders>
          </w:tcPr>
          <w:p w14:paraId="3FFD701D"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 xml:space="preserve">Primer </w:t>
            </w:r>
          </w:p>
        </w:tc>
        <w:tc>
          <w:tcPr>
            <w:tcW w:w="875" w:type="dxa"/>
            <w:tcBorders>
              <w:top w:val="single" w:sz="6" w:space="0" w:color="auto"/>
              <w:bottom w:val="single" w:sz="6" w:space="0" w:color="auto"/>
            </w:tcBorders>
          </w:tcPr>
          <w:p w14:paraId="78C2F1CE"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Product</w:t>
            </w:r>
          </w:p>
        </w:tc>
        <w:tc>
          <w:tcPr>
            <w:tcW w:w="2923" w:type="dxa"/>
            <w:tcBorders>
              <w:top w:val="single" w:sz="6" w:space="0" w:color="auto"/>
              <w:bottom w:val="single" w:sz="6" w:space="0" w:color="auto"/>
            </w:tcBorders>
          </w:tcPr>
          <w:p w14:paraId="69C373E7"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Sequence (</w:t>
            </w:r>
            <w:r w:rsidRPr="00983C95">
              <w:rPr>
                <w:rFonts w:ascii="Ottawa" w:eastAsia="Times New Roman" w:hAnsi="Ottawa" w:cs="Times New Roman"/>
                <w:b/>
                <w:bCs/>
                <w:strike/>
                <w:sz w:val="16"/>
                <w:szCs w:val="16"/>
                <w:lang w:val="en-IE" w:bidi="en-US"/>
              </w:rPr>
              <w:t>5’-3’)</w:t>
            </w:r>
          </w:p>
        </w:tc>
        <w:tc>
          <w:tcPr>
            <w:tcW w:w="1134" w:type="dxa"/>
            <w:tcBorders>
              <w:top w:val="single" w:sz="6" w:space="0" w:color="auto"/>
              <w:bottom w:val="single" w:sz="6" w:space="0" w:color="auto"/>
            </w:tcBorders>
          </w:tcPr>
          <w:p w14:paraId="0A425FBB"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G+C%/Temp.</w:t>
            </w:r>
          </w:p>
        </w:tc>
        <w:tc>
          <w:tcPr>
            <w:tcW w:w="1610" w:type="dxa"/>
            <w:tcBorders>
              <w:top w:val="single" w:sz="6" w:space="0" w:color="auto"/>
              <w:bottom w:val="single" w:sz="6" w:space="0" w:color="auto"/>
            </w:tcBorders>
          </w:tcPr>
          <w:p w14:paraId="2F5F313F"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GenBank &amp; References</w:t>
            </w:r>
          </w:p>
        </w:tc>
        <w:tc>
          <w:tcPr>
            <w:tcW w:w="2828" w:type="dxa"/>
            <w:tcBorders>
              <w:top w:val="single" w:sz="6" w:space="0" w:color="auto"/>
              <w:bottom w:val="single" w:sz="6" w:space="0" w:color="auto"/>
            </w:tcBorders>
          </w:tcPr>
          <w:p w14:paraId="71F10D15" w14:textId="77777777" w:rsidR="00983C95" w:rsidRPr="00983C95" w:rsidRDefault="00983C95" w:rsidP="00983C95">
            <w:pPr>
              <w:spacing w:before="120" w:after="120" w:line="240" w:lineRule="auto"/>
              <w:jc w:val="center"/>
              <w:rPr>
                <w:rFonts w:ascii="Arial" w:eastAsia="Times New Roman" w:hAnsi="Arial" w:cs="Times New Roman"/>
                <w:b/>
                <w:bCs/>
                <w:strike/>
                <w:sz w:val="16"/>
                <w:szCs w:val="16"/>
                <w:lang w:val="en-IE" w:bidi="en-US"/>
              </w:rPr>
            </w:pPr>
            <w:r w:rsidRPr="00983C95">
              <w:rPr>
                <w:rFonts w:ascii="Arial" w:eastAsia="Times New Roman" w:hAnsi="Arial" w:cs="Times New Roman"/>
                <w:b/>
                <w:bCs/>
                <w:strike/>
                <w:sz w:val="16"/>
                <w:szCs w:val="16"/>
                <w:lang w:val="en-IE" w:bidi="en-US"/>
              </w:rPr>
              <w:t>Specificity</w:t>
            </w:r>
          </w:p>
        </w:tc>
      </w:tr>
      <w:tr w:rsidR="00983C95" w:rsidRPr="00983C95" w14:paraId="5213D7D9" w14:textId="77777777" w:rsidTr="005E584A">
        <w:tc>
          <w:tcPr>
            <w:tcW w:w="1113" w:type="dxa"/>
          </w:tcPr>
          <w:p w14:paraId="755BC37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389F</w:t>
            </w:r>
          </w:p>
        </w:tc>
        <w:tc>
          <w:tcPr>
            <w:tcW w:w="875" w:type="dxa"/>
          </w:tcPr>
          <w:p w14:paraId="5C65857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389 bp</w:t>
            </w:r>
          </w:p>
        </w:tc>
        <w:tc>
          <w:tcPr>
            <w:tcW w:w="2923" w:type="dxa"/>
          </w:tcPr>
          <w:p w14:paraId="3DBD0D4D" w14:textId="77777777" w:rsidR="00983C95" w:rsidRPr="00983C95" w:rsidRDefault="00983C95" w:rsidP="00983C95">
            <w:pPr>
              <w:spacing w:before="60" w:after="60" w:line="240" w:lineRule="auto"/>
              <w:jc w:val="center"/>
              <w:rPr>
                <w:rFonts w:ascii="Arial" w:eastAsia="Times New Roman" w:hAnsi="Arial" w:cs="Arial"/>
                <w:strike/>
                <w:sz w:val="16"/>
                <w:szCs w:val="16"/>
                <w:lang w:val="en-IE" w:bidi="en-US"/>
              </w:rPr>
            </w:pPr>
            <w:r w:rsidRPr="00983C95">
              <w:rPr>
                <w:rFonts w:ascii="Arial" w:eastAsia="Times New Roman" w:hAnsi="Arial" w:cs="Arial"/>
                <w:strike/>
                <w:sz w:val="16"/>
                <w:szCs w:val="16"/>
                <w:lang w:val="en-IE" w:bidi="en-US"/>
              </w:rPr>
              <w:t xml:space="preserve">CGG-AAC-ACA-ACC-CGA-CTT-TA </w:t>
            </w:r>
          </w:p>
        </w:tc>
        <w:tc>
          <w:tcPr>
            <w:tcW w:w="1134" w:type="dxa"/>
          </w:tcPr>
          <w:p w14:paraId="18B4273B"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50%/72°C</w:t>
            </w:r>
          </w:p>
        </w:tc>
        <w:tc>
          <w:tcPr>
            <w:tcW w:w="1610" w:type="dxa"/>
          </w:tcPr>
          <w:p w14:paraId="5251B74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AF218266</w:t>
            </w:r>
          </w:p>
        </w:tc>
        <w:tc>
          <w:tcPr>
            <w:tcW w:w="2828" w:type="dxa"/>
          </w:tcPr>
          <w:p w14:paraId="23F03AFE" w14:textId="77777777" w:rsidR="00983C95" w:rsidRPr="00983C95" w:rsidRDefault="00983C95" w:rsidP="00983C95">
            <w:pPr>
              <w:spacing w:before="60" w:after="6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All genetic variants of IHHNV </w:t>
            </w:r>
          </w:p>
        </w:tc>
      </w:tr>
      <w:tr w:rsidR="00983C95" w:rsidRPr="00983C95" w14:paraId="788729C3" w14:textId="77777777" w:rsidTr="005E584A">
        <w:tc>
          <w:tcPr>
            <w:tcW w:w="1113" w:type="dxa"/>
          </w:tcPr>
          <w:p w14:paraId="5E4C74CD" w14:textId="77777777" w:rsidR="00983C95" w:rsidRPr="00983C95" w:rsidRDefault="00983C95" w:rsidP="00983C95">
            <w:pPr>
              <w:spacing w:before="60" w:after="12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389R</w:t>
            </w:r>
          </w:p>
        </w:tc>
        <w:tc>
          <w:tcPr>
            <w:tcW w:w="875" w:type="dxa"/>
          </w:tcPr>
          <w:p w14:paraId="3629B590" w14:textId="77777777" w:rsidR="00983C95" w:rsidRPr="00983C95" w:rsidRDefault="00983C95" w:rsidP="00983C95">
            <w:pPr>
              <w:spacing w:before="60" w:after="120" w:line="240" w:lineRule="auto"/>
              <w:jc w:val="center"/>
              <w:rPr>
                <w:rFonts w:ascii="Arial" w:eastAsia="Times New Roman" w:hAnsi="Arial" w:cs="Arial"/>
                <w:bCs/>
                <w:strike/>
                <w:sz w:val="16"/>
                <w:szCs w:val="16"/>
                <w:lang w:val="en-IE" w:bidi="en-US"/>
              </w:rPr>
            </w:pPr>
          </w:p>
        </w:tc>
        <w:tc>
          <w:tcPr>
            <w:tcW w:w="2923" w:type="dxa"/>
          </w:tcPr>
          <w:p w14:paraId="79272E06" w14:textId="77777777" w:rsidR="00983C95" w:rsidRPr="00983C95" w:rsidRDefault="00983C95" w:rsidP="00983C95">
            <w:pPr>
              <w:spacing w:before="60" w:after="12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GGC-CAA-GAC-CAA-AAT-ACG-AA</w:t>
            </w:r>
          </w:p>
        </w:tc>
        <w:tc>
          <w:tcPr>
            <w:tcW w:w="1134" w:type="dxa"/>
          </w:tcPr>
          <w:p w14:paraId="6F1D9EC7" w14:textId="77777777" w:rsidR="00983C95" w:rsidRPr="00983C95" w:rsidRDefault="00983C95" w:rsidP="00983C95">
            <w:pPr>
              <w:spacing w:before="60" w:after="12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45%/71°C</w:t>
            </w:r>
          </w:p>
        </w:tc>
        <w:tc>
          <w:tcPr>
            <w:tcW w:w="1610" w:type="dxa"/>
          </w:tcPr>
          <w:p w14:paraId="5E612935" w14:textId="77777777" w:rsidR="00983C95" w:rsidRPr="00983C95" w:rsidRDefault="00983C95" w:rsidP="00983C95">
            <w:pPr>
              <w:spacing w:before="60" w:after="12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(Tang </w:t>
            </w:r>
            <w:r w:rsidRPr="00983C95">
              <w:rPr>
                <w:rFonts w:ascii="Arial" w:eastAsia="Times New Roman" w:hAnsi="Arial" w:cs="Arial"/>
                <w:bCs/>
                <w:i/>
                <w:iCs/>
                <w:strike/>
                <w:sz w:val="16"/>
                <w:szCs w:val="16"/>
                <w:lang w:val="en-IE" w:bidi="en-US"/>
              </w:rPr>
              <w:t>et al.,</w:t>
            </w:r>
            <w:r w:rsidRPr="00983C95">
              <w:rPr>
                <w:rFonts w:ascii="Arial" w:eastAsia="Times New Roman" w:hAnsi="Arial" w:cs="Arial"/>
                <w:bCs/>
                <w:strike/>
                <w:sz w:val="16"/>
                <w:szCs w:val="16"/>
                <w:lang w:val="en-IE" w:bidi="en-US"/>
              </w:rPr>
              <w:t xml:space="preserve"> 2007)</w:t>
            </w:r>
          </w:p>
        </w:tc>
        <w:tc>
          <w:tcPr>
            <w:tcW w:w="2828" w:type="dxa"/>
          </w:tcPr>
          <w:p w14:paraId="5076CC44" w14:textId="77777777" w:rsidR="00983C95" w:rsidRPr="00983C95" w:rsidRDefault="00983C95" w:rsidP="00983C95">
            <w:pPr>
              <w:spacing w:before="60" w:after="12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u w:val="single"/>
                <w:lang w:val="en-IE" w:bidi="en-US"/>
              </w:rPr>
              <w:t>and</w:t>
            </w:r>
            <w:r w:rsidRPr="00983C95">
              <w:rPr>
                <w:rFonts w:ascii="Arial" w:eastAsia="Times New Roman" w:hAnsi="Arial" w:cs="Arial"/>
                <w:bCs/>
                <w:strike/>
                <w:sz w:val="16"/>
                <w:szCs w:val="16"/>
                <w:lang w:val="en-IE" w:bidi="en-US"/>
              </w:rPr>
              <w:t xml:space="preserve"> IHHNV-related EVEs</w:t>
            </w:r>
          </w:p>
        </w:tc>
      </w:tr>
      <w:tr w:rsidR="00983C95" w:rsidRPr="00983C95" w14:paraId="651461C6" w14:textId="77777777" w:rsidTr="005E584A">
        <w:tc>
          <w:tcPr>
            <w:tcW w:w="1113" w:type="dxa"/>
          </w:tcPr>
          <w:p w14:paraId="745A0E9B"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77012F</w:t>
            </w:r>
          </w:p>
        </w:tc>
        <w:tc>
          <w:tcPr>
            <w:tcW w:w="875" w:type="dxa"/>
          </w:tcPr>
          <w:p w14:paraId="3DEF386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356 bp</w:t>
            </w:r>
          </w:p>
        </w:tc>
        <w:tc>
          <w:tcPr>
            <w:tcW w:w="2923" w:type="dxa"/>
          </w:tcPr>
          <w:p w14:paraId="1D52ECFB"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ATC-GGT-GCA-CTA-CTC-GGA</w:t>
            </w:r>
          </w:p>
        </w:tc>
        <w:tc>
          <w:tcPr>
            <w:tcW w:w="1134" w:type="dxa"/>
          </w:tcPr>
          <w:p w14:paraId="115A29CF"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50%/68°C</w:t>
            </w:r>
          </w:p>
        </w:tc>
        <w:tc>
          <w:tcPr>
            <w:tcW w:w="1610" w:type="dxa"/>
          </w:tcPr>
          <w:p w14:paraId="4B02AEC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AF218266</w:t>
            </w:r>
          </w:p>
        </w:tc>
        <w:tc>
          <w:tcPr>
            <w:tcW w:w="2828" w:type="dxa"/>
          </w:tcPr>
          <w:p w14:paraId="40F72A09" w14:textId="77777777" w:rsidR="00983C95" w:rsidRPr="00983C95" w:rsidRDefault="00983C95" w:rsidP="00983C95">
            <w:pPr>
              <w:spacing w:before="60" w:after="6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Not given in the reference</w:t>
            </w:r>
          </w:p>
        </w:tc>
      </w:tr>
      <w:tr w:rsidR="00983C95" w:rsidRPr="00983C95" w14:paraId="58F5268A" w14:textId="77777777" w:rsidTr="005E584A">
        <w:tc>
          <w:tcPr>
            <w:tcW w:w="1113" w:type="dxa"/>
          </w:tcPr>
          <w:p w14:paraId="59F7E635"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77353R</w:t>
            </w:r>
          </w:p>
        </w:tc>
        <w:tc>
          <w:tcPr>
            <w:tcW w:w="875" w:type="dxa"/>
          </w:tcPr>
          <w:p w14:paraId="1647741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c>
          <w:tcPr>
            <w:tcW w:w="2923" w:type="dxa"/>
          </w:tcPr>
          <w:p w14:paraId="4E3C90D5"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TCG-TAC-TGG-CTG-TTC-ATC</w:t>
            </w:r>
          </w:p>
        </w:tc>
        <w:tc>
          <w:tcPr>
            <w:tcW w:w="1134" w:type="dxa"/>
          </w:tcPr>
          <w:p w14:paraId="048D215C"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55%/63°C</w:t>
            </w:r>
          </w:p>
        </w:tc>
        <w:tc>
          <w:tcPr>
            <w:tcW w:w="1610" w:type="dxa"/>
          </w:tcPr>
          <w:p w14:paraId="35458211"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(Nunan</w:t>
            </w:r>
            <w:r w:rsidRPr="00983C95">
              <w:rPr>
                <w:rFonts w:ascii="Arial" w:eastAsia="Times New Roman" w:hAnsi="Arial" w:cs="Arial"/>
                <w:bCs/>
                <w:i/>
                <w:iCs/>
                <w:strike/>
                <w:sz w:val="16"/>
                <w:szCs w:val="16"/>
                <w:lang w:val="en-IE" w:bidi="en-US"/>
              </w:rPr>
              <w:t xml:space="preserve"> et al., </w:t>
            </w:r>
            <w:r w:rsidRPr="00983C95">
              <w:rPr>
                <w:rFonts w:ascii="Arial" w:eastAsia="Times New Roman" w:hAnsi="Arial" w:cs="Arial"/>
                <w:bCs/>
                <w:strike/>
                <w:sz w:val="16"/>
                <w:szCs w:val="16"/>
                <w:lang w:val="en-IE" w:bidi="en-US"/>
              </w:rPr>
              <w:t>2000)</w:t>
            </w:r>
          </w:p>
        </w:tc>
        <w:tc>
          <w:tcPr>
            <w:tcW w:w="2828" w:type="dxa"/>
          </w:tcPr>
          <w:p w14:paraId="469B9021"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r>
      <w:tr w:rsidR="00983C95" w:rsidRPr="00983C95" w14:paraId="156379CE" w14:textId="77777777" w:rsidTr="005E584A">
        <w:tc>
          <w:tcPr>
            <w:tcW w:w="1113" w:type="dxa"/>
          </w:tcPr>
          <w:p w14:paraId="4FD47331"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lastRenderedPageBreak/>
              <w:t>392F</w:t>
            </w:r>
          </w:p>
        </w:tc>
        <w:tc>
          <w:tcPr>
            <w:tcW w:w="875" w:type="dxa"/>
          </w:tcPr>
          <w:p w14:paraId="245410B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392 bp</w:t>
            </w:r>
          </w:p>
        </w:tc>
        <w:tc>
          <w:tcPr>
            <w:tcW w:w="2923" w:type="dxa"/>
          </w:tcPr>
          <w:p w14:paraId="481133BC"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GGG-CGA-ACC-AGA-ATC-ACT-TA</w:t>
            </w:r>
          </w:p>
        </w:tc>
        <w:tc>
          <w:tcPr>
            <w:tcW w:w="1134" w:type="dxa"/>
          </w:tcPr>
          <w:p w14:paraId="56FAA08B"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50%/68°C</w:t>
            </w:r>
          </w:p>
        </w:tc>
        <w:tc>
          <w:tcPr>
            <w:tcW w:w="1610" w:type="dxa"/>
          </w:tcPr>
          <w:p w14:paraId="67EDC7E4"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AF218266</w:t>
            </w:r>
          </w:p>
        </w:tc>
        <w:tc>
          <w:tcPr>
            <w:tcW w:w="2828" w:type="dxa"/>
          </w:tcPr>
          <w:p w14:paraId="281A560A" w14:textId="77777777" w:rsidR="00983C95" w:rsidRPr="00983C95" w:rsidRDefault="00983C95" w:rsidP="00983C95">
            <w:pPr>
              <w:spacing w:before="60" w:after="6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All genetic variants of IHHNV </w:t>
            </w:r>
            <w:r w:rsidRPr="00983C95">
              <w:rPr>
                <w:rFonts w:ascii="Arial" w:eastAsia="Times New Roman" w:hAnsi="Arial" w:cs="Arial"/>
                <w:bCs/>
                <w:strike/>
                <w:sz w:val="16"/>
                <w:szCs w:val="16"/>
                <w:u w:val="single"/>
                <w:lang w:val="en-IE" w:bidi="en-US"/>
              </w:rPr>
              <w:t>and</w:t>
            </w:r>
            <w:r w:rsidRPr="00983C95">
              <w:rPr>
                <w:rFonts w:ascii="Arial" w:eastAsia="Times New Roman" w:hAnsi="Arial" w:cs="Arial"/>
                <w:bCs/>
                <w:strike/>
                <w:sz w:val="16"/>
                <w:szCs w:val="16"/>
                <w:lang w:val="en-IE" w:bidi="en-US"/>
              </w:rPr>
              <w:t xml:space="preserve"> IHHNV-related EVEs</w:t>
            </w:r>
          </w:p>
        </w:tc>
      </w:tr>
      <w:tr w:rsidR="00983C95" w:rsidRPr="00983C95" w14:paraId="4663BD9E" w14:textId="77777777" w:rsidTr="005E584A">
        <w:tc>
          <w:tcPr>
            <w:tcW w:w="1113" w:type="dxa"/>
          </w:tcPr>
          <w:p w14:paraId="244481D8"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392R</w:t>
            </w:r>
          </w:p>
        </w:tc>
        <w:tc>
          <w:tcPr>
            <w:tcW w:w="875" w:type="dxa"/>
          </w:tcPr>
          <w:p w14:paraId="7336032C"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c>
          <w:tcPr>
            <w:tcW w:w="2923" w:type="dxa"/>
          </w:tcPr>
          <w:p w14:paraId="7A24A8AA"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ATC-CGG-AGG-AAT-CTG-ATG-TG</w:t>
            </w:r>
          </w:p>
        </w:tc>
        <w:tc>
          <w:tcPr>
            <w:tcW w:w="1134" w:type="dxa"/>
          </w:tcPr>
          <w:p w14:paraId="6B67815C"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50%/71°C</w:t>
            </w:r>
          </w:p>
        </w:tc>
        <w:tc>
          <w:tcPr>
            <w:tcW w:w="1610" w:type="dxa"/>
          </w:tcPr>
          <w:p w14:paraId="7CDA8D25"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(Tang </w:t>
            </w:r>
            <w:r w:rsidRPr="00983C95">
              <w:rPr>
                <w:rFonts w:ascii="Arial" w:eastAsia="Times New Roman" w:hAnsi="Arial" w:cs="Arial"/>
                <w:bCs/>
                <w:i/>
                <w:strike/>
                <w:sz w:val="16"/>
                <w:szCs w:val="16"/>
                <w:lang w:val="en-IE" w:bidi="en-US"/>
              </w:rPr>
              <w:t>et al.,</w:t>
            </w:r>
            <w:r w:rsidRPr="00983C95">
              <w:rPr>
                <w:rFonts w:ascii="Arial" w:eastAsia="Times New Roman" w:hAnsi="Arial" w:cs="Arial"/>
                <w:bCs/>
                <w:strike/>
                <w:sz w:val="16"/>
                <w:szCs w:val="16"/>
                <w:lang w:val="en-IE" w:bidi="en-US"/>
              </w:rPr>
              <w:t xml:space="preserve"> 2000)</w:t>
            </w:r>
          </w:p>
        </w:tc>
        <w:tc>
          <w:tcPr>
            <w:tcW w:w="2828" w:type="dxa"/>
          </w:tcPr>
          <w:p w14:paraId="6765C5D7"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r>
      <w:tr w:rsidR="00983C95" w:rsidRPr="00983C95" w14:paraId="02D56921" w14:textId="77777777" w:rsidTr="005E584A">
        <w:tc>
          <w:tcPr>
            <w:tcW w:w="1113" w:type="dxa"/>
          </w:tcPr>
          <w:p w14:paraId="7B6E418B"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309F</w:t>
            </w:r>
          </w:p>
        </w:tc>
        <w:tc>
          <w:tcPr>
            <w:tcW w:w="875" w:type="dxa"/>
          </w:tcPr>
          <w:p w14:paraId="4FD567F5"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309 bp</w:t>
            </w:r>
          </w:p>
        </w:tc>
        <w:tc>
          <w:tcPr>
            <w:tcW w:w="2923" w:type="dxa"/>
          </w:tcPr>
          <w:p w14:paraId="49020296"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TCC-AAC-ACT-TAG-TCA-AAA-CCA-A</w:t>
            </w:r>
          </w:p>
        </w:tc>
        <w:tc>
          <w:tcPr>
            <w:tcW w:w="1134" w:type="dxa"/>
          </w:tcPr>
          <w:p w14:paraId="6D2A138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36%/68°C</w:t>
            </w:r>
          </w:p>
        </w:tc>
        <w:tc>
          <w:tcPr>
            <w:tcW w:w="1610" w:type="dxa"/>
          </w:tcPr>
          <w:p w14:paraId="023AFBA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AF218266 </w:t>
            </w:r>
          </w:p>
        </w:tc>
        <w:tc>
          <w:tcPr>
            <w:tcW w:w="2828" w:type="dxa"/>
          </w:tcPr>
          <w:p w14:paraId="2BD41925" w14:textId="77777777" w:rsidR="00983C95" w:rsidRPr="00983C95" w:rsidRDefault="00983C95" w:rsidP="00983C95">
            <w:pPr>
              <w:spacing w:before="60" w:after="6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IHHNV </w:t>
            </w:r>
            <w:r w:rsidRPr="00983C95">
              <w:rPr>
                <w:rFonts w:ascii="Arial" w:eastAsia="Times New Roman" w:hAnsi="Arial" w:cs="Arial"/>
                <w:bCs/>
                <w:strike/>
                <w:sz w:val="16"/>
                <w:szCs w:val="16"/>
                <w:u w:val="single"/>
                <w:lang w:val="en-IE" w:bidi="en-US"/>
              </w:rPr>
              <w:t>but not</w:t>
            </w:r>
            <w:r w:rsidRPr="00983C95">
              <w:rPr>
                <w:rFonts w:ascii="Arial" w:eastAsia="Times New Roman" w:hAnsi="Arial" w:cs="Arial"/>
                <w:bCs/>
                <w:strike/>
                <w:sz w:val="16"/>
                <w:szCs w:val="16"/>
                <w:lang w:val="en-IE" w:bidi="en-US"/>
              </w:rPr>
              <w:t xml:space="preserve"> IHHNV-related EVEs</w:t>
            </w:r>
          </w:p>
        </w:tc>
      </w:tr>
      <w:tr w:rsidR="00983C95" w:rsidRPr="00983C95" w14:paraId="09EE73A0" w14:textId="77777777" w:rsidTr="005E584A">
        <w:tc>
          <w:tcPr>
            <w:tcW w:w="1113" w:type="dxa"/>
          </w:tcPr>
          <w:p w14:paraId="502EC272"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309R</w:t>
            </w:r>
          </w:p>
        </w:tc>
        <w:tc>
          <w:tcPr>
            <w:tcW w:w="875" w:type="dxa"/>
          </w:tcPr>
          <w:p w14:paraId="2CE676BE"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c>
          <w:tcPr>
            <w:tcW w:w="2923" w:type="dxa"/>
          </w:tcPr>
          <w:p w14:paraId="20663403"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TGT-CTG-CTA-CGA-TGA-TTA-TCC-A</w:t>
            </w:r>
          </w:p>
        </w:tc>
        <w:tc>
          <w:tcPr>
            <w:tcW w:w="1134" w:type="dxa"/>
          </w:tcPr>
          <w:p w14:paraId="0BE61A87"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40%/69°C</w:t>
            </w:r>
          </w:p>
        </w:tc>
        <w:tc>
          <w:tcPr>
            <w:tcW w:w="1610" w:type="dxa"/>
          </w:tcPr>
          <w:p w14:paraId="159472CE"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(Tang </w:t>
            </w:r>
            <w:r w:rsidRPr="00983C95">
              <w:rPr>
                <w:rFonts w:ascii="Arial" w:eastAsia="Times New Roman" w:hAnsi="Arial" w:cs="Arial"/>
                <w:bCs/>
                <w:i/>
                <w:iCs/>
                <w:strike/>
                <w:sz w:val="16"/>
                <w:szCs w:val="16"/>
                <w:lang w:val="en-IE" w:bidi="en-US"/>
              </w:rPr>
              <w:t>et al.,</w:t>
            </w:r>
            <w:r w:rsidRPr="00983C95">
              <w:rPr>
                <w:rFonts w:ascii="Arial" w:eastAsia="Times New Roman" w:hAnsi="Arial" w:cs="Arial"/>
                <w:bCs/>
                <w:strike/>
                <w:sz w:val="16"/>
                <w:szCs w:val="16"/>
                <w:lang w:val="en-IE" w:bidi="en-US"/>
              </w:rPr>
              <w:t xml:space="preserve"> 2007)</w:t>
            </w:r>
          </w:p>
        </w:tc>
        <w:tc>
          <w:tcPr>
            <w:tcW w:w="2828" w:type="dxa"/>
          </w:tcPr>
          <w:p w14:paraId="7B05006E"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r>
      <w:tr w:rsidR="00983C95" w:rsidRPr="00983C95" w14:paraId="1FEB11C6" w14:textId="77777777" w:rsidTr="005E584A">
        <w:tc>
          <w:tcPr>
            <w:tcW w:w="1113" w:type="dxa"/>
          </w:tcPr>
          <w:p w14:paraId="1BD677C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MG831F</w:t>
            </w:r>
          </w:p>
        </w:tc>
        <w:tc>
          <w:tcPr>
            <w:tcW w:w="875" w:type="dxa"/>
          </w:tcPr>
          <w:p w14:paraId="0DBCC43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831 bp</w:t>
            </w:r>
          </w:p>
        </w:tc>
        <w:tc>
          <w:tcPr>
            <w:tcW w:w="2923" w:type="dxa"/>
          </w:tcPr>
          <w:p w14:paraId="1DBF2B33" w14:textId="77777777" w:rsidR="00983C95" w:rsidRPr="00983C95" w:rsidRDefault="00983C95" w:rsidP="00983C95">
            <w:pPr>
              <w:spacing w:before="60" w:after="60" w:line="240" w:lineRule="auto"/>
              <w:jc w:val="center"/>
              <w:rPr>
                <w:rFonts w:ascii="Arial" w:eastAsia="Times New Roman" w:hAnsi="Arial" w:cs="Arial"/>
                <w:bCs/>
                <w:strike/>
                <w:sz w:val="16"/>
                <w:szCs w:val="16"/>
                <w:lang w:val="en-GB" w:bidi="en-US"/>
              </w:rPr>
            </w:pPr>
            <w:r w:rsidRPr="00983C95">
              <w:rPr>
                <w:rFonts w:ascii="Arial" w:eastAsia="Times New Roman" w:hAnsi="Arial" w:cs="Arial"/>
                <w:bCs/>
                <w:strike/>
                <w:sz w:val="16"/>
                <w:szCs w:val="16"/>
                <w:lang w:val="en-IE" w:bidi="en-US"/>
              </w:rPr>
              <w:t>TTG-GGG-ATG-CAG-CAA-TAT-CT</w:t>
            </w:r>
          </w:p>
        </w:tc>
        <w:tc>
          <w:tcPr>
            <w:tcW w:w="1134" w:type="dxa"/>
          </w:tcPr>
          <w:p w14:paraId="49E8FB2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45%/58°C</w:t>
            </w:r>
          </w:p>
        </w:tc>
        <w:tc>
          <w:tcPr>
            <w:tcW w:w="1610" w:type="dxa"/>
          </w:tcPr>
          <w:p w14:paraId="09F6CBED"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DQ228358</w:t>
            </w:r>
          </w:p>
        </w:tc>
        <w:tc>
          <w:tcPr>
            <w:tcW w:w="2828" w:type="dxa"/>
          </w:tcPr>
          <w:p w14:paraId="5BF9F9A5" w14:textId="77777777" w:rsidR="00983C95" w:rsidRPr="00983C95" w:rsidRDefault="00983C95" w:rsidP="00983C95">
            <w:pPr>
              <w:spacing w:before="60" w:after="60" w:line="240" w:lineRule="auto"/>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IHHNV-related EVEs </w:t>
            </w:r>
            <w:r w:rsidRPr="00983C95">
              <w:rPr>
                <w:rFonts w:ascii="Arial" w:eastAsia="Times New Roman" w:hAnsi="Arial" w:cs="Arial"/>
                <w:bCs/>
                <w:strike/>
                <w:sz w:val="16"/>
                <w:szCs w:val="16"/>
                <w:u w:val="single"/>
                <w:lang w:val="en-IE" w:bidi="en-US"/>
              </w:rPr>
              <w:t>but not</w:t>
            </w:r>
            <w:r w:rsidRPr="00983C95">
              <w:rPr>
                <w:rFonts w:ascii="Arial" w:eastAsia="Times New Roman" w:hAnsi="Arial" w:cs="Arial"/>
                <w:bCs/>
                <w:strike/>
                <w:sz w:val="16"/>
                <w:szCs w:val="16"/>
                <w:lang w:val="en-IE" w:bidi="en-US"/>
              </w:rPr>
              <w:t xml:space="preserve"> IHHNV</w:t>
            </w:r>
          </w:p>
        </w:tc>
      </w:tr>
      <w:tr w:rsidR="00983C95" w:rsidRPr="00983C95" w14:paraId="1B46AC96" w14:textId="77777777" w:rsidTr="005E584A">
        <w:tc>
          <w:tcPr>
            <w:tcW w:w="1113" w:type="dxa"/>
            <w:tcBorders>
              <w:bottom w:val="single" w:sz="6" w:space="0" w:color="auto"/>
            </w:tcBorders>
          </w:tcPr>
          <w:p w14:paraId="1815A2D0"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MG831R</w:t>
            </w:r>
          </w:p>
        </w:tc>
        <w:tc>
          <w:tcPr>
            <w:tcW w:w="875" w:type="dxa"/>
            <w:tcBorders>
              <w:bottom w:val="single" w:sz="6" w:space="0" w:color="auto"/>
            </w:tcBorders>
          </w:tcPr>
          <w:p w14:paraId="1113BCCA"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c>
          <w:tcPr>
            <w:tcW w:w="2923" w:type="dxa"/>
            <w:tcBorders>
              <w:bottom w:val="single" w:sz="6" w:space="0" w:color="auto"/>
            </w:tcBorders>
          </w:tcPr>
          <w:p w14:paraId="3D3E3FD7"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GTC-CAT-CCA-CTG-ATC-GGA-CT</w:t>
            </w:r>
          </w:p>
        </w:tc>
        <w:tc>
          <w:tcPr>
            <w:tcW w:w="1134" w:type="dxa"/>
            <w:tcBorders>
              <w:bottom w:val="single" w:sz="6" w:space="0" w:color="auto"/>
            </w:tcBorders>
          </w:tcPr>
          <w:p w14:paraId="1823E643"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55%/62°C</w:t>
            </w:r>
          </w:p>
        </w:tc>
        <w:tc>
          <w:tcPr>
            <w:tcW w:w="1610" w:type="dxa"/>
            <w:tcBorders>
              <w:bottom w:val="single" w:sz="6" w:space="0" w:color="auto"/>
            </w:tcBorders>
          </w:tcPr>
          <w:p w14:paraId="344552EF"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r w:rsidRPr="00983C95">
              <w:rPr>
                <w:rFonts w:ascii="Arial" w:eastAsia="Times New Roman" w:hAnsi="Arial" w:cs="Arial"/>
                <w:bCs/>
                <w:strike/>
                <w:sz w:val="16"/>
                <w:szCs w:val="16"/>
                <w:lang w:val="en-IE" w:bidi="en-US"/>
              </w:rPr>
              <w:t xml:space="preserve">(Tang </w:t>
            </w:r>
            <w:r w:rsidRPr="00983C95">
              <w:rPr>
                <w:rFonts w:ascii="Arial" w:eastAsia="Times New Roman" w:hAnsi="Arial" w:cs="Arial"/>
                <w:bCs/>
                <w:i/>
                <w:iCs/>
                <w:strike/>
                <w:sz w:val="16"/>
                <w:szCs w:val="16"/>
                <w:lang w:val="en-IE" w:bidi="en-US"/>
              </w:rPr>
              <w:t>et al.,</w:t>
            </w:r>
            <w:r w:rsidRPr="00983C95">
              <w:rPr>
                <w:rFonts w:ascii="Arial" w:eastAsia="Times New Roman" w:hAnsi="Arial" w:cs="Arial"/>
                <w:bCs/>
                <w:strike/>
                <w:sz w:val="16"/>
                <w:szCs w:val="16"/>
                <w:lang w:val="en-IE" w:bidi="en-US"/>
              </w:rPr>
              <w:t xml:space="preserve"> 2007)</w:t>
            </w:r>
          </w:p>
        </w:tc>
        <w:tc>
          <w:tcPr>
            <w:tcW w:w="2828" w:type="dxa"/>
            <w:tcBorders>
              <w:bottom w:val="single" w:sz="6" w:space="0" w:color="auto"/>
            </w:tcBorders>
          </w:tcPr>
          <w:p w14:paraId="628B764F" w14:textId="77777777" w:rsidR="00983C95" w:rsidRPr="00983C95" w:rsidRDefault="00983C95" w:rsidP="00983C95">
            <w:pPr>
              <w:spacing w:before="60" w:after="60" w:line="240" w:lineRule="auto"/>
              <w:jc w:val="center"/>
              <w:rPr>
                <w:rFonts w:ascii="Arial" w:eastAsia="Times New Roman" w:hAnsi="Arial" w:cs="Arial"/>
                <w:bCs/>
                <w:strike/>
                <w:sz w:val="16"/>
                <w:szCs w:val="16"/>
                <w:lang w:val="en-IE" w:bidi="en-US"/>
              </w:rPr>
            </w:pPr>
          </w:p>
        </w:tc>
      </w:tr>
    </w:tbl>
    <w:p w14:paraId="0157C1F3" w14:textId="77777777" w:rsidR="00983C95" w:rsidRPr="00983C95" w:rsidRDefault="00983C95" w:rsidP="00983C95">
      <w:pPr>
        <w:spacing w:before="240" w:after="240" w:line="240" w:lineRule="auto"/>
        <w:ind w:left="851"/>
        <w:jc w:val="both"/>
        <w:rPr>
          <w:rFonts w:ascii="Söhne" w:eastAsia="Times New Roman" w:hAnsi="Söhne" w:cs="Times New Roman"/>
          <w:bCs/>
          <w:strike/>
          <w:sz w:val="18"/>
          <w:lang w:val="en-IE"/>
        </w:rPr>
      </w:pPr>
      <w:r w:rsidRPr="00983C95">
        <w:rPr>
          <w:rFonts w:ascii="Söhne" w:eastAsia="Times New Roman" w:hAnsi="Söhne" w:cs="Times New Roman"/>
          <w:bCs/>
          <w:strike/>
          <w:sz w:val="18"/>
          <w:lang w:val="en-IE"/>
        </w:rPr>
        <w:t>NOTE: Primers 389F/R and 392F/R described above are from the nonstructural protein-coding region of the IHHNV genome. Primers 77012F/77353R are from a region in between the nonstructural and capsid protein-coding region of the genome. In the event that results are ambiguous using the 389F/R ‘universal’ primer set, it is recommended to use primers from a different region of the genome for confirmatory testing. In this case, that would mean using primers 77012F/77353R or the 392F/R primer sets and follow up with sequencing of PCR amplicons for confirmation.</w:t>
      </w:r>
    </w:p>
    <w:p w14:paraId="1EB83762" w14:textId="77777777" w:rsidR="00983C95" w:rsidRPr="00983C95" w:rsidRDefault="00983C95" w:rsidP="00983C95">
      <w:pPr>
        <w:spacing w:after="120" w:line="240" w:lineRule="auto"/>
        <w:ind w:left="851"/>
        <w:jc w:val="both"/>
        <w:rPr>
          <w:rFonts w:ascii="Söhne" w:eastAsia="Times New Roman" w:hAnsi="Söhne" w:cs="Times New Roman"/>
          <w:bCs/>
          <w:strike/>
          <w:sz w:val="18"/>
          <w:lang w:val="en-IE"/>
        </w:rPr>
      </w:pPr>
      <w:r w:rsidRPr="00983C95">
        <w:rPr>
          <w:rFonts w:ascii="Söhne" w:eastAsia="Times New Roman" w:hAnsi="Söhne" w:cs="Times New Roman"/>
          <w:bCs/>
          <w:strike/>
          <w:sz w:val="18"/>
          <w:lang w:val="en-IE"/>
        </w:rPr>
        <w:t>General PCR method for IHHNV:</w:t>
      </w:r>
      <w:r w:rsidRPr="00983C95">
        <w:rPr>
          <w:rFonts w:ascii="Söhne" w:eastAsia="Times New Roman" w:hAnsi="Söhne" w:cs="Times New Roman"/>
          <w:bCs/>
          <w:i/>
          <w:strike/>
          <w:sz w:val="18"/>
          <w:lang w:val="en-IE"/>
        </w:rPr>
        <w:t xml:space="preserve"> </w:t>
      </w:r>
      <w:r w:rsidRPr="00983C95">
        <w:rPr>
          <w:rFonts w:ascii="Söhne" w:eastAsia="Times New Roman" w:hAnsi="Söhne" w:cs="Times New Roman"/>
          <w:bCs/>
          <w:strike/>
          <w:sz w:val="18"/>
          <w:lang w:val="en-IE"/>
        </w:rPr>
        <w:t xml:space="preserve">the PCR method described below for IHHNV generally follows the methods outlined in Tang </w:t>
      </w:r>
      <w:r w:rsidRPr="00983C95">
        <w:rPr>
          <w:rFonts w:ascii="Söhne" w:eastAsia="Times New Roman" w:hAnsi="Söhne" w:cs="Times New Roman"/>
          <w:bCs/>
          <w:i/>
          <w:iCs/>
          <w:strike/>
          <w:sz w:val="18"/>
          <w:lang w:val="en-IE"/>
        </w:rPr>
        <w:t>et al.</w:t>
      </w:r>
      <w:r w:rsidRPr="00983C95">
        <w:rPr>
          <w:rFonts w:ascii="Söhne" w:eastAsia="Times New Roman" w:hAnsi="Söhne" w:cs="Times New Roman"/>
          <w:bCs/>
          <w:strike/>
          <w:sz w:val="18"/>
          <w:lang w:val="en-IE"/>
        </w:rPr>
        <w:t xml:space="preserve"> (2007) and </w:t>
      </w:r>
      <w:r w:rsidRPr="00983C95">
        <w:rPr>
          <w:rFonts w:ascii="Söhne" w:eastAsia="Times New Roman" w:hAnsi="Söhne" w:cs="Arial"/>
          <w:bCs/>
          <w:strike/>
          <w:sz w:val="18"/>
          <w:lang w:val="en-IE"/>
        </w:rPr>
        <w:t>Nunan</w:t>
      </w:r>
      <w:r w:rsidRPr="00983C95">
        <w:rPr>
          <w:rFonts w:ascii="Söhne" w:eastAsia="Times New Roman" w:hAnsi="Söhne" w:cs="Arial"/>
          <w:bCs/>
          <w:i/>
          <w:strike/>
          <w:sz w:val="18"/>
          <w:lang w:val="en-IE"/>
        </w:rPr>
        <w:t xml:space="preserve"> </w:t>
      </w:r>
      <w:r w:rsidRPr="00983C95">
        <w:rPr>
          <w:rFonts w:ascii="Söhne" w:eastAsia="Times New Roman" w:hAnsi="Söhne" w:cs="Arial"/>
          <w:bCs/>
          <w:i/>
          <w:iCs/>
          <w:strike/>
          <w:sz w:val="18"/>
          <w:lang w:val="en-IE"/>
        </w:rPr>
        <w:t>et al.</w:t>
      </w:r>
      <w:r w:rsidRPr="00983C95">
        <w:rPr>
          <w:rFonts w:ascii="Söhne" w:eastAsia="Times New Roman" w:hAnsi="Söhne" w:cs="Arial"/>
          <w:bCs/>
          <w:i/>
          <w:strike/>
          <w:sz w:val="18"/>
          <w:lang w:val="en-IE"/>
        </w:rPr>
        <w:t xml:space="preserve"> </w:t>
      </w:r>
      <w:r w:rsidRPr="00983C95">
        <w:rPr>
          <w:rFonts w:ascii="Söhne" w:eastAsia="Times New Roman" w:hAnsi="Söhne" w:cs="Arial"/>
          <w:bCs/>
          <w:strike/>
          <w:sz w:val="18"/>
          <w:lang w:val="en-IE"/>
        </w:rPr>
        <w:t>(2000)</w:t>
      </w:r>
      <w:r w:rsidRPr="00983C95">
        <w:rPr>
          <w:rFonts w:ascii="Söhne" w:eastAsia="Times New Roman" w:hAnsi="Söhne" w:cs="Times New Roman"/>
          <w:bCs/>
          <w:strike/>
          <w:sz w:val="18"/>
          <w:lang w:val="en-IE"/>
        </w:rPr>
        <w:t xml:space="preserve">. </w:t>
      </w:r>
      <w:r w:rsidRPr="00983C95">
        <w:rPr>
          <w:rFonts w:ascii="Söhne" w:eastAsia="Times New Roman" w:hAnsi="Söhne" w:cs="Arial"/>
          <w:bCs/>
          <w:strike/>
          <w:color w:val="000000"/>
          <w:sz w:val="18"/>
          <w:szCs w:val="18"/>
          <w:lang w:val="en-IE"/>
        </w:rPr>
        <w:t xml:space="preserve">However, recent minor modifications including the sources of the reagents and the use of an automated DNA extraction instrument are acceptable. The modifications include </w:t>
      </w:r>
      <w:r w:rsidRPr="00983C95">
        <w:rPr>
          <w:rFonts w:ascii="Söhne" w:eastAsia="Times New Roman" w:hAnsi="Söhne" w:cs="Arial"/>
          <w:bCs/>
          <w:strike/>
          <w:sz w:val="18"/>
          <w:szCs w:val="18"/>
          <w:lang w:val="en-IE"/>
        </w:rPr>
        <w:t>DNA extraction method, choice of primers (Table 4.4.2.1), and the volume of reaction.</w:t>
      </w:r>
      <w:r w:rsidRPr="00983C95">
        <w:rPr>
          <w:rFonts w:ascii="Söhne" w:eastAsia="Times New Roman" w:hAnsi="Söhne" w:cs="Arial"/>
          <w:bCs/>
          <w:strike/>
          <w:color w:val="000000"/>
          <w:sz w:val="18"/>
          <w:szCs w:val="18"/>
          <w:lang w:val="en-IE"/>
        </w:rPr>
        <w:t xml:space="preserve"> These slightly modified methods have been validated in accordance with Chapter 1.1.2 </w:t>
      </w:r>
      <w:r w:rsidRPr="00983C95">
        <w:rPr>
          <w:rFonts w:ascii="Söhne" w:eastAsia="Times New Roman" w:hAnsi="Söhne" w:cs="Arial"/>
          <w:bCs/>
          <w:i/>
          <w:strike/>
          <w:color w:val="000000"/>
          <w:sz w:val="18"/>
          <w:szCs w:val="18"/>
          <w:lang w:val="en-IE"/>
        </w:rPr>
        <w:t>Principles and methods of validation of diagnostic assays for infectious diseases</w:t>
      </w:r>
      <w:r w:rsidRPr="00983C95">
        <w:rPr>
          <w:rFonts w:ascii="Söhne" w:eastAsia="Times New Roman" w:hAnsi="Söhne" w:cs="Arial"/>
          <w:bCs/>
          <w:strike/>
          <w:color w:val="000000"/>
          <w:sz w:val="18"/>
          <w:szCs w:val="18"/>
          <w:lang w:val="en-IE"/>
        </w:rPr>
        <w:t xml:space="preserve"> and do not affect the diagnostic performance of the assay.</w:t>
      </w:r>
      <w:r w:rsidRPr="00983C95">
        <w:rPr>
          <w:rFonts w:ascii="Söhne" w:eastAsia="Times New Roman" w:hAnsi="Söhne" w:cs="Times New Roman"/>
          <w:bCs/>
          <w:strike/>
          <w:sz w:val="18"/>
          <w:lang w:val="en-IE"/>
        </w:rPr>
        <w:t xml:space="preserve"> </w:t>
      </w:r>
    </w:p>
    <w:p w14:paraId="1C31759C"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w:t>
      </w:r>
      <w:r w:rsidRPr="00983C95">
        <w:rPr>
          <w:rFonts w:ascii="Söhne" w:eastAsia="MS Mincho" w:hAnsi="Söhne" w:cs="Arial"/>
          <w:strike/>
          <w:sz w:val="18"/>
          <w:szCs w:val="18"/>
          <w:lang w:val="en-IE"/>
        </w:rPr>
        <w:tab/>
        <w:t xml:space="preserve">Use as a template, </w:t>
      </w:r>
      <w:r w:rsidRPr="00983C95">
        <w:rPr>
          <w:rFonts w:ascii="Söhne" w:eastAsia="Yu Mincho" w:hAnsi="Söhne" w:cs="Arial"/>
          <w:strike/>
          <w:sz w:val="18"/>
          <w:szCs w:val="18"/>
          <w:lang w:val="en-IE" w:eastAsia="zh-CN"/>
        </w:rPr>
        <w:t>the</w:t>
      </w:r>
      <w:r w:rsidRPr="00983C95">
        <w:rPr>
          <w:rFonts w:ascii="Söhne" w:eastAsia="MS Mincho" w:hAnsi="Söhne" w:cs="Arial"/>
          <w:strike/>
          <w:sz w:val="18"/>
          <w:szCs w:val="18"/>
          <w:lang w:val="en-IE"/>
        </w:rPr>
        <w:t xml:space="preserve"> extraction of DNA templates is the same as that described above. Use 1–5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of extracted DNA as a template per 25</w:t>
      </w:r>
      <w:r w:rsidRPr="00983C95">
        <w:rPr>
          <w:rFonts w:ascii="Söhne" w:eastAsia="MS Mincho" w:hAnsi="Söhne" w:cs="Söhne"/>
          <w:strike/>
          <w:sz w:val="18"/>
          <w:szCs w:val="18"/>
          <w:lang w:val="en-IE"/>
        </w:rPr>
        <w:t>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reaction volume.</w:t>
      </w:r>
    </w:p>
    <w:p w14:paraId="307999D5"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ii)</w:t>
      </w:r>
      <w:r w:rsidRPr="00983C95">
        <w:rPr>
          <w:rFonts w:ascii="Söhne" w:eastAsia="MS Mincho" w:hAnsi="Söhne" w:cs="Arial"/>
          <w:strike/>
          <w:sz w:val="18"/>
          <w:szCs w:val="18"/>
          <w:lang w:val="en-IE"/>
        </w:rPr>
        <w:tab/>
        <w:t>The following controls should be included in every PCR assay for IHHNV: (a) DNA from a known negative tissue sample; (b) DNA from a known positive sample (either from tissue or haemolymph or from a plasmid clone that contains the fragment that the specific set of primers amplifies; and (c) a ‘no template’ control.</w:t>
      </w:r>
    </w:p>
    <w:p w14:paraId="440F4C65"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iii)</w:t>
      </w:r>
      <w:r w:rsidRPr="00983C95">
        <w:rPr>
          <w:rFonts w:ascii="Söhne" w:eastAsia="MS Mincho" w:hAnsi="Söhne" w:cs="Arial"/>
          <w:strike/>
          <w:sz w:val="18"/>
          <w:szCs w:val="18"/>
          <w:lang w:val="en-IE"/>
        </w:rPr>
        <w:tab/>
        <w:t xml:space="preserve">Use as primers, primers 389F and 389R, which elicit a band 389 bp in size from IHHNV-infected material, or primers 77012F and 77353R, which elicit a band 356 bp in size from IHHNV-infected material. Prepare primers at 10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M in distilled water.</w:t>
      </w:r>
    </w:p>
    <w:p w14:paraId="19F28FE1"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iv)</w:t>
      </w:r>
      <w:r w:rsidRPr="00983C95">
        <w:rPr>
          <w:rFonts w:ascii="Söhne" w:eastAsia="MS Mincho" w:hAnsi="Söhne" w:cs="Arial"/>
          <w:strike/>
          <w:sz w:val="18"/>
          <w:szCs w:val="18"/>
          <w:lang w:val="en-IE"/>
        </w:rPr>
        <w:tab/>
        <w:t>If PuReTaq</w:t>
      </w:r>
      <w:r w:rsidRPr="00983C95">
        <w:rPr>
          <w:rFonts w:ascii="Söhne" w:eastAsia="MS Mincho" w:hAnsi="Söhne" w:cs="Arial"/>
          <w:strike/>
          <w:sz w:val="18"/>
          <w:szCs w:val="18"/>
          <w:vertAlign w:val="superscript"/>
          <w:lang w:val="en-IE"/>
        </w:rPr>
        <w:t>TM</w:t>
      </w:r>
      <w:r w:rsidRPr="00983C95">
        <w:rPr>
          <w:rFonts w:ascii="Söhne" w:eastAsia="MS Mincho" w:hAnsi="Söhne" w:cs="Arial"/>
          <w:strike/>
          <w:sz w:val="18"/>
          <w:szCs w:val="18"/>
          <w:lang w:val="en-IE"/>
        </w:rPr>
        <w:t xml:space="preserve"> Ready-To-Go PCR Beads (GE Healthcare) are used, the PCR profile involves a 3–5 minutes at 95°C to denature DNA followed by 35 cycles of 95°C for 30 seconds, 60°C for 30 seconds, and 72°C for 30 seconds, and final extension at 72°C for 5 minutes. </w:t>
      </w:r>
    </w:p>
    <w:p w14:paraId="098669FB"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v)</w:t>
      </w:r>
      <w:r w:rsidRPr="00983C95">
        <w:rPr>
          <w:rFonts w:ascii="Söhne" w:eastAsia="MS Mincho" w:hAnsi="Söhne" w:cs="Arial"/>
          <w:strike/>
          <w:sz w:val="18"/>
          <w:szCs w:val="18"/>
          <w:lang w:val="en-IE"/>
        </w:rPr>
        <w:tab/>
        <w:t xml:space="preserve">Prepare a ‘Master Mix’ consisting of water and primers. </w:t>
      </w:r>
    </w:p>
    <w:p w14:paraId="049C815A"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vi)</w:t>
      </w:r>
      <w:r w:rsidRPr="00983C95">
        <w:rPr>
          <w:rFonts w:ascii="Söhne" w:eastAsia="MS Mincho" w:hAnsi="Söhne" w:cs="Arial"/>
          <w:strike/>
          <w:sz w:val="18"/>
          <w:szCs w:val="18"/>
          <w:lang w:val="en-IE"/>
        </w:rPr>
        <w:tab/>
        <w:t>For a 25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reaction mix, add 24</w:t>
      </w:r>
      <w:r w:rsidRPr="00983C95">
        <w:rPr>
          <w:rFonts w:ascii="Söhne" w:eastAsia="MS Mincho" w:hAnsi="Söhne" w:cs="Söhne"/>
          <w:strike/>
          <w:sz w:val="18"/>
          <w:szCs w:val="18"/>
          <w:lang w:val="en-IE"/>
        </w:rPr>
        <w:t>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Master Mix to each tube and then add 1</w:t>
      </w:r>
      <w:r w:rsidRPr="00983C95">
        <w:rPr>
          <w:rFonts w:ascii="Söhne" w:eastAsia="MS Mincho" w:hAnsi="Söhne" w:cs="Söhne"/>
          <w:strike/>
          <w:sz w:val="18"/>
          <w:szCs w:val="18"/>
          <w:lang w:val="en-IE"/>
        </w:rPr>
        <w:t>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of the DNA template to be tested.</w:t>
      </w:r>
    </w:p>
    <w:p w14:paraId="031B11E5"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vii)</w:t>
      </w:r>
      <w:r w:rsidRPr="00983C95">
        <w:rPr>
          <w:rFonts w:ascii="Söhne" w:eastAsia="MS Mincho" w:hAnsi="Söhne" w:cs="Arial"/>
          <w:strike/>
          <w:sz w:val="18"/>
          <w:szCs w:val="18"/>
          <w:lang w:val="en-IE"/>
        </w:rPr>
        <w:tab/>
        <w:t>Vortex each tube, spin quickly to bring down all liquid. Insert tubes into the thermal cycler and start the PCR program.</w:t>
      </w:r>
    </w:p>
    <w:p w14:paraId="408A3A82" w14:textId="77777777" w:rsidR="00983C95" w:rsidRPr="00983C95" w:rsidRDefault="00983C95" w:rsidP="00983C95">
      <w:pPr>
        <w:spacing w:after="240" w:line="240" w:lineRule="auto"/>
        <w:ind w:left="1418" w:hanging="567"/>
        <w:jc w:val="both"/>
        <w:rPr>
          <w:rFonts w:ascii="Söhne" w:eastAsia="MS Mincho" w:hAnsi="Söhne" w:cs="Arial"/>
          <w:strike/>
          <w:sz w:val="18"/>
          <w:szCs w:val="18"/>
          <w:lang w:val="en-IE"/>
        </w:rPr>
      </w:pPr>
      <w:r w:rsidRPr="00983C95">
        <w:rPr>
          <w:rFonts w:ascii="Söhne" w:eastAsia="MS Mincho" w:hAnsi="Söhne" w:cs="Arial"/>
          <w:strike/>
          <w:sz w:val="18"/>
          <w:szCs w:val="18"/>
          <w:lang w:val="en-IE"/>
        </w:rPr>
        <w:t>viii)</w:t>
      </w:r>
      <w:r w:rsidRPr="00983C95">
        <w:rPr>
          <w:rFonts w:ascii="Söhne" w:eastAsia="MS Mincho" w:hAnsi="Söhne" w:cs="Arial"/>
          <w:strike/>
          <w:sz w:val="18"/>
          <w:szCs w:val="18"/>
          <w:lang w:val="en-IE"/>
        </w:rPr>
        <w:tab/>
        <w:t>After PCR, run 6–10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 of the sample in a 1.5% agarose gel (containing</w:t>
      </w:r>
      <w:r w:rsidRPr="00983C95">
        <w:rPr>
          <w:rFonts w:ascii="Söhne" w:eastAsia="Yu Mincho" w:hAnsi="Söhne" w:cs="Arial"/>
          <w:strike/>
          <w:sz w:val="18"/>
          <w:szCs w:val="18"/>
          <w:lang w:val="en-US"/>
        </w:rPr>
        <w:t xml:space="preserve"> </w:t>
      </w:r>
      <w:r w:rsidRPr="00983C95">
        <w:rPr>
          <w:rFonts w:ascii="Söhne" w:eastAsia="MS Mincho" w:hAnsi="Söhne" w:cs="Arial"/>
          <w:strike/>
          <w:sz w:val="18"/>
          <w:szCs w:val="18"/>
          <w:lang w:val="en-IE"/>
        </w:rPr>
        <w:t>SYBR</w:t>
      </w:r>
      <w:r w:rsidRPr="00983C95">
        <w:rPr>
          <w:rFonts w:ascii="Söhne" w:eastAsia="MS Mincho" w:hAnsi="Söhne" w:cs="Arial"/>
          <w:strike/>
          <w:sz w:val="18"/>
          <w:szCs w:val="18"/>
          <w:vertAlign w:val="superscript"/>
          <w:lang w:val="en-IE"/>
        </w:rPr>
        <w:t>TM</w:t>
      </w:r>
      <w:r w:rsidRPr="00983C95">
        <w:rPr>
          <w:rFonts w:ascii="Söhne" w:eastAsia="MS Mincho" w:hAnsi="Söhne" w:cs="Arial"/>
          <w:strike/>
          <w:sz w:val="18"/>
          <w:szCs w:val="18"/>
          <w:lang w:val="en-IE"/>
        </w:rPr>
        <w:t xml:space="preserve"> Safe (Thermo Fisher Scientific) or equivalent to stain the DNA). Look for the 389 bp band (if using primers 389F and 389R) or for the 356 bp band (if using primers 77012F and 77353R). Bands are not always seen, as it is necessary to have at least 10 ng DNA </w:t>
      </w:r>
      <w:r w:rsidRPr="00983C95">
        <w:rPr>
          <w:rFonts w:ascii="Calibri" w:eastAsia="MS Mincho" w:hAnsi="Calibri" w:cs="Calibri"/>
          <w:strike/>
          <w:sz w:val="18"/>
          <w:szCs w:val="18"/>
          <w:lang w:val="en-IE"/>
        </w:rPr>
        <w:t>µ</w:t>
      </w:r>
      <w:r w:rsidRPr="00983C95">
        <w:rPr>
          <w:rFonts w:ascii="Söhne" w:eastAsia="MS Mincho" w:hAnsi="Söhne" w:cs="Arial"/>
          <w:strike/>
          <w:sz w:val="18"/>
          <w:szCs w:val="18"/>
          <w:lang w:val="en-IE"/>
        </w:rPr>
        <w:t>l</w:t>
      </w:r>
      <w:r w:rsidRPr="00983C95">
        <w:rPr>
          <w:rFonts w:ascii="Söhne" w:eastAsia="MS Mincho" w:hAnsi="Söhne" w:cs="Arial"/>
          <w:strike/>
          <w:sz w:val="18"/>
          <w:szCs w:val="14"/>
          <w:vertAlign w:val="superscript"/>
          <w:lang w:val="en-IE"/>
        </w:rPr>
        <w:t>–1</w:t>
      </w:r>
      <w:r w:rsidRPr="00983C95">
        <w:rPr>
          <w:rFonts w:ascii="Söhne" w:eastAsia="MS Mincho" w:hAnsi="Söhne" w:cs="Arial"/>
          <w:strike/>
          <w:sz w:val="18"/>
          <w:szCs w:val="18"/>
          <w:lang w:val="en-IE"/>
        </w:rPr>
        <w:t xml:space="preserve"> to see DNA in a gel. A direct sequencing of amplified products can be performed through gel extraction of a PCR band with correct size and the sequencing primer(s) used for amplification to confirm the presence of IHHNV. </w:t>
      </w:r>
    </w:p>
    <w:p w14:paraId="11F36F8A"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4.4.3.</w:t>
      </w:r>
      <w:r w:rsidRPr="00983C95">
        <w:rPr>
          <w:rFonts w:ascii="Söhne Kräftig" w:eastAsia="Times New Roman" w:hAnsi="Söhne Kräftig" w:cs="Times New Roman"/>
          <w:bCs/>
          <w:sz w:val="20"/>
          <w:lang w:val="en-GB" w:eastAsia="fr-FR"/>
        </w:rPr>
        <w:tab/>
        <w:t>Other nucleic acid amplification methods</w:t>
      </w:r>
    </w:p>
    <w:p w14:paraId="430AB13D"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sz w:val="18"/>
          <w:lang w:val="en-IE"/>
        </w:rPr>
        <w:lastRenderedPageBreak/>
        <w:t xml:space="preserve">Loop-mediated isothermal amplification (LAMP) assays and </w:t>
      </w:r>
      <w:r w:rsidRPr="00983C95">
        <w:rPr>
          <w:rFonts w:ascii="Söhne" w:eastAsia="Times New Roman" w:hAnsi="Söhne" w:cs="Times New Roman"/>
          <w:bCs/>
          <w:sz w:val="18"/>
          <w:u w:val="double"/>
          <w:lang w:val="en-IE"/>
        </w:rPr>
        <w:t>a</w:t>
      </w:r>
      <w:r w:rsidRPr="00983C95">
        <w:rPr>
          <w:rFonts w:ascii="Söhne" w:eastAsia="Times New Roman" w:hAnsi="Söhne" w:cs="Times New Roman"/>
          <w:bCs/>
          <w:sz w:val="18"/>
          <w:lang w:val="en-IE"/>
        </w:rPr>
        <w:t xml:space="preserve"> real-time isothermal recombinase polymerase amplification (RPA) assay </w:t>
      </w:r>
      <w:r w:rsidRPr="00983C95">
        <w:rPr>
          <w:rFonts w:ascii="Söhne" w:eastAsia="Times New Roman" w:hAnsi="Söhne" w:cs="Times New Roman"/>
          <w:bCs/>
          <w:strike/>
          <w:sz w:val="18"/>
          <w:lang w:val="en-IE"/>
        </w:rPr>
        <w:t>are available</w:t>
      </w:r>
      <w:r w:rsidRPr="00983C95">
        <w:rPr>
          <w:rFonts w:ascii="Söhne" w:eastAsia="Times New Roman" w:hAnsi="Söhne" w:cs="Times New Roman"/>
          <w:bCs/>
          <w:sz w:val="18"/>
          <w:lang w:val="en-IE"/>
        </w:rPr>
        <w:t xml:space="preserve"> to detect </w:t>
      </w:r>
      <w:r w:rsidRPr="00983C95">
        <w:rPr>
          <w:rFonts w:ascii="Söhne" w:eastAsia="Times New Roman" w:hAnsi="Söhne" w:cs="Times New Roman"/>
          <w:bCs/>
          <w:strike/>
          <w:sz w:val="18"/>
          <w:lang w:val="en-IE"/>
        </w:rPr>
        <w:t xml:space="preserve">and confirm </w:t>
      </w:r>
      <w:r w:rsidRPr="00983C95">
        <w:rPr>
          <w:rFonts w:ascii="Söhne" w:eastAsia="Times New Roman" w:hAnsi="Söhne" w:cs="Times New Roman"/>
          <w:bCs/>
          <w:sz w:val="18"/>
          <w:lang w:val="en-IE"/>
        </w:rPr>
        <w:t xml:space="preserve">IHHNV </w:t>
      </w:r>
      <w:r w:rsidRPr="00983C95">
        <w:rPr>
          <w:rFonts w:ascii="Söhne" w:eastAsia="Times New Roman" w:hAnsi="Söhne" w:cs="Times New Roman"/>
          <w:bCs/>
          <w:strike/>
          <w:sz w:val="18"/>
          <w:lang w:val="en-IE"/>
        </w:rPr>
        <w:t xml:space="preserve">infection </w:t>
      </w:r>
      <w:r w:rsidRPr="00983C95">
        <w:rPr>
          <w:rFonts w:ascii="Söhne" w:eastAsia="Times New Roman" w:hAnsi="Söhne" w:cs="Times New Roman"/>
          <w:bCs/>
          <w:sz w:val="18"/>
          <w:u w:val="double"/>
          <w:lang w:val="en-IE"/>
        </w:rPr>
        <w:t>have been published</w:t>
      </w:r>
      <w:r w:rsidRPr="00983C95">
        <w:rPr>
          <w:rFonts w:ascii="Söhne" w:eastAsia="Times New Roman" w:hAnsi="Söhne" w:cs="Times New Roman"/>
          <w:bCs/>
          <w:sz w:val="18"/>
          <w:lang w:val="en-IE"/>
        </w:rPr>
        <w:t xml:space="preserve"> (</w:t>
      </w:r>
      <w:r w:rsidRPr="00983C95">
        <w:rPr>
          <w:rFonts w:ascii="Söhne" w:eastAsia="MS Mincho" w:hAnsi="Söhne" w:cs="Arial"/>
          <w:bCs/>
          <w:sz w:val="18"/>
          <w:szCs w:val="18"/>
          <w:lang w:val="en-IE"/>
        </w:rPr>
        <w:t xml:space="preserve">Arunrut </w:t>
      </w:r>
      <w:r w:rsidRPr="00983C95">
        <w:rPr>
          <w:rFonts w:ascii="Söhne" w:eastAsia="MS Mincho" w:hAnsi="Söhne" w:cs="Arial"/>
          <w:bCs/>
          <w:i/>
          <w:sz w:val="18"/>
          <w:szCs w:val="18"/>
          <w:lang w:val="en-IE"/>
        </w:rPr>
        <w:t>et al</w:t>
      </w:r>
      <w:r w:rsidRPr="00983C95">
        <w:rPr>
          <w:rFonts w:ascii="Söhne" w:eastAsia="MS Mincho" w:hAnsi="Söhne" w:cs="Arial"/>
          <w:bCs/>
          <w:sz w:val="18"/>
          <w:szCs w:val="18"/>
          <w:lang w:val="en-IE"/>
        </w:rPr>
        <w:t xml:space="preserve">., 2011; </w:t>
      </w:r>
      <w:r w:rsidRPr="00983C95">
        <w:rPr>
          <w:rFonts w:ascii="Söhne" w:eastAsia="Times New Roman" w:hAnsi="Söhne" w:cs="Times New Roman"/>
          <w:bCs/>
          <w:sz w:val="18"/>
          <w:lang w:val="en-IE"/>
        </w:rPr>
        <w:t xml:space="preserve">Sun </w:t>
      </w:r>
      <w:r w:rsidRPr="00983C95">
        <w:rPr>
          <w:rFonts w:ascii="Söhne" w:eastAsia="Times New Roman" w:hAnsi="Söhne" w:cs="Times New Roman"/>
          <w:bCs/>
          <w:i/>
          <w:sz w:val="18"/>
          <w:lang w:val="en-IE"/>
        </w:rPr>
        <w:t>et al</w:t>
      </w:r>
      <w:r w:rsidRPr="00983C95">
        <w:rPr>
          <w:rFonts w:ascii="Söhne" w:eastAsia="Times New Roman" w:hAnsi="Söhne" w:cs="Times New Roman"/>
          <w:bCs/>
          <w:sz w:val="18"/>
          <w:lang w:val="en-IE"/>
        </w:rPr>
        <w:t xml:space="preserve">., 2006; </w:t>
      </w:r>
      <w:r w:rsidRPr="00983C95">
        <w:rPr>
          <w:rFonts w:ascii="Söhne" w:eastAsia="MS Mincho" w:hAnsi="Söhne" w:cs="Arial"/>
          <w:bCs/>
          <w:sz w:val="18"/>
          <w:szCs w:val="18"/>
          <w:lang w:val="en-IE"/>
        </w:rPr>
        <w:t xml:space="preserve">Xia </w:t>
      </w:r>
      <w:r w:rsidRPr="00983C95">
        <w:rPr>
          <w:rFonts w:ascii="Söhne" w:eastAsia="MS Mincho" w:hAnsi="Söhne" w:cs="Arial"/>
          <w:bCs/>
          <w:i/>
          <w:sz w:val="18"/>
          <w:szCs w:val="18"/>
          <w:lang w:val="en-IE"/>
        </w:rPr>
        <w:t>et al.</w:t>
      </w:r>
      <w:r w:rsidRPr="00983C95">
        <w:rPr>
          <w:rFonts w:ascii="Söhne" w:eastAsia="MS Mincho" w:hAnsi="Söhne" w:cs="Arial"/>
          <w:bCs/>
          <w:sz w:val="18"/>
          <w:szCs w:val="18"/>
          <w:lang w:val="en-IE"/>
        </w:rPr>
        <w:t>, 201</w:t>
      </w:r>
      <w:r w:rsidRPr="00983C95">
        <w:rPr>
          <w:rFonts w:ascii="Söhne" w:eastAsia="Times New Roman" w:hAnsi="Söhne" w:cs="Times New Roman"/>
          <w:bCs/>
          <w:sz w:val="18"/>
          <w:lang w:val="en-IE"/>
        </w:rPr>
        <w:t>5)</w:t>
      </w:r>
      <w:r w:rsidRPr="00983C95">
        <w:rPr>
          <w:rFonts w:ascii="Söhne" w:eastAsia="Times New Roman" w:hAnsi="Söhne" w:cs="Times New Roman" w:hint="eastAsia"/>
          <w:bCs/>
          <w:sz w:val="18"/>
          <w:lang w:val="en-IE"/>
        </w:rPr>
        <w:t>,</w:t>
      </w:r>
      <w:r w:rsidRPr="00983C95">
        <w:rPr>
          <w:rFonts w:ascii="Söhne" w:eastAsia="Times New Roman" w:hAnsi="Söhne" w:cs="Times New Roman"/>
          <w:bCs/>
          <w:sz w:val="18"/>
          <w:lang w:val="en-IE"/>
        </w:rPr>
        <w:t xml:space="preserve"> however, they are currently not recommended as they are not sufficiently validated. </w:t>
      </w:r>
    </w:p>
    <w:p w14:paraId="0C3E3C2B"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4.5.</w:t>
      </w:r>
      <w:r w:rsidRPr="00983C95">
        <w:rPr>
          <w:rFonts w:ascii="Söhne Kräftig" w:eastAsia="MS Mincho" w:hAnsi="Söhne Kräftig" w:cs="Times New Roman"/>
          <w:sz w:val="21"/>
          <w:szCs w:val="20"/>
          <w:lang w:val="da-DK" w:eastAsia="da-DK"/>
        </w:rPr>
        <w:tab/>
        <w:t>Amplicon sequencing</w:t>
      </w:r>
    </w:p>
    <w:p w14:paraId="4A96EA47" w14:textId="77777777" w:rsidR="00983C95" w:rsidRPr="00983C95" w:rsidRDefault="00983C95" w:rsidP="00983C95">
      <w:pPr>
        <w:spacing w:after="240" w:line="240" w:lineRule="auto"/>
        <w:ind w:left="284"/>
        <w:jc w:val="both"/>
        <w:rPr>
          <w:rFonts w:ascii="Söhne" w:eastAsia="Times New Roman" w:hAnsi="Söhne" w:cs="Times New Roman"/>
          <w:sz w:val="18"/>
          <w:u w:val="double"/>
          <w:lang w:val="en-IE"/>
        </w:rPr>
      </w:pPr>
      <w:r w:rsidRPr="00983C95">
        <w:rPr>
          <w:rFonts w:ascii="Söhne" w:eastAsia="Times New Roman" w:hAnsi="Söhne" w:cs="Times New Roman"/>
          <w:sz w:val="18"/>
          <w:u w:val="double"/>
          <w:lang w:val="en-IE"/>
        </w:rPr>
        <w:t>The size of the PCR amplicon should be</w:t>
      </w:r>
      <w:r w:rsidRPr="00983C95">
        <w:rPr>
          <w:rFonts w:ascii="Söhne" w:eastAsia="Times New Roman" w:hAnsi="Söhne" w:cs="Times New Roman"/>
          <w:strike/>
          <w:sz w:val="18"/>
          <w:lang w:val="en-IE"/>
        </w:rPr>
        <w:t xml:space="preserve"> </w:t>
      </w:r>
      <w:r w:rsidRPr="00983C95">
        <w:rPr>
          <w:rFonts w:ascii="Söhne" w:eastAsia="Times New Roman" w:hAnsi="Söhne" w:cs="Times New Roman"/>
          <w:strike/>
          <w:sz w:val="18"/>
          <w:highlight w:val="yellow"/>
          <w:lang w:val="en-IE"/>
        </w:rPr>
        <w:t>is</w:t>
      </w:r>
      <w:r w:rsidRPr="00983C95">
        <w:rPr>
          <w:rFonts w:ascii="Söhne" w:eastAsia="Times New Roman" w:hAnsi="Söhne" w:cs="Times New Roman"/>
          <w:strike/>
          <w:sz w:val="18"/>
          <w:lang w:val="en-IE"/>
        </w:rPr>
        <w:t xml:space="preserve"> </w:t>
      </w:r>
      <w:r w:rsidRPr="00983C95">
        <w:rPr>
          <w:rFonts w:ascii="Söhne" w:eastAsia="Times New Roman" w:hAnsi="Söhne" w:cs="Times New Roman"/>
          <w:sz w:val="18"/>
          <w:u w:val="double"/>
          <w:lang w:val="en-IE"/>
        </w:rPr>
        <w:t>verified</w:t>
      </w:r>
      <w:r w:rsidRPr="00983C95">
        <w:rPr>
          <w:rFonts w:ascii="Söhne" w:eastAsia="Times New Roman" w:hAnsi="Söhne" w:cs="Times New Roman"/>
          <w:sz w:val="18"/>
          <w:highlight w:val="yellow"/>
          <w:u w:val="double"/>
          <w:lang w:val="en-IE"/>
        </w:rPr>
        <w:t>, for example</w:t>
      </w:r>
      <w:r w:rsidRPr="00983C95">
        <w:rPr>
          <w:rFonts w:ascii="Söhne" w:eastAsia="Times New Roman" w:hAnsi="Söhne" w:cs="Times New Roman"/>
          <w:sz w:val="18"/>
          <w:u w:val="double"/>
          <w:lang w:val="en-IE"/>
        </w:rPr>
        <w:t xml:space="preserve"> by agarose gel electrophoresis</w:t>
      </w:r>
      <w:r w:rsidRPr="00983C95">
        <w:rPr>
          <w:rFonts w:ascii="Söhne" w:eastAsia="Times New Roman" w:hAnsi="Söhne" w:cs="Times New Roman"/>
          <w:strike/>
          <w:sz w:val="18"/>
          <w:highlight w:val="yellow"/>
          <w:lang w:val="en-IE"/>
        </w:rPr>
        <w:t>, and purified by excision from this gel</w:t>
      </w:r>
      <w:r w:rsidRPr="00983C95">
        <w:rPr>
          <w:rFonts w:ascii="Söhne" w:eastAsia="Times New Roman" w:hAnsi="Söhne" w:cs="Times New Roman"/>
          <w:sz w:val="18"/>
          <w:u w:val="double"/>
          <w:lang w:val="en-IE"/>
        </w:rPr>
        <w:t xml:space="preserve">. Both DNA strands must be sequenced </w:t>
      </w:r>
      <w:r w:rsidRPr="00983C95">
        <w:rPr>
          <w:rFonts w:ascii="Söhne" w:eastAsia="Times New Roman" w:hAnsi="Söhne" w:cs="Times New Roman"/>
          <w:sz w:val="18"/>
          <w:highlight w:val="yellow"/>
          <w:u w:val="double"/>
          <w:lang w:val="en-IE"/>
        </w:rPr>
        <w:t>and</w:t>
      </w:r>
      <w:r w:rsidRPr="00983C95">
        <w:rPr>
          <w:rFonts w:ascii="Söhne" w:eastAsia="Times New Roman" w:hAnsi="Söhne" w:cs="Times New Roman"/>
          <w:sz w:val="18"/>
          <w:u w:val="double"/>
          <w:lang w:val="en-IE"/>
        </w:rPr>
        <w:t xml:space="preserve"> analysed</w:t>
      </w:r>
      <w:r w:rsidRPr="00983C95">
        <w:rPr>
          <w:rFonts w:ascii="Söhne" w:eastAsia="Times New Roman" w:hAnsi="Söhne" w:cs="Times New Roman"/>
          <w:sz w:val="18"/>
          <w:lang w:val="en-IE"/>
        </w:rPr>
        <w:t xml:space="preserve"> </w:t>
      </w:r>
      <w:r w:rsidRPr="00983C95">
        <w:rPr>
          <w:rFonts w:ascii="Söhne" w:eastAsia="Times New Roman" w:hAnsi="Söhne" w:cs="Times New Roman"/>
          <w:strike/>
          <w:sz w:val="18"/>
          <w:highlight w:val="yellow"/>
          <w:lang w:val="en-IE"/>
        </w:rPr>
        <w:t xml:space="preserve">and compared with published </w:t>
      </w:r>
      <w:r w:rsidRPr="00983C95">
        <w:rPr>
          <w:rFonts w:ascii="Söhne" w:eastAsia="Times New Roman" w:hAnsi="Söhne" w:cs="Times New Roman"/>
          <w:sz w:val="18"/>
          <w:highlight w:val="yellow"/>
          <w:u w:val="double"/>
          <w:lang w:val="en-IE"/>
        </w:rPr>
        <w:t>in comparison with reference</w:t>
      </w:r>
      <w:r w:rsidRPr="00983C95">
        <w:rPr>
          <w:rFonts w:ascii="Söhne" w:eastAsia="Times New Roman" w:hAnsi="Söhne" w:cs="Times New Roman"/>
          <w:sz w:val="18"/>
          <w:u w:val="double"/>
          <w:lang w:val="en-IE"/>
        </w:rPr>
        <w:t xml:space="preserve"> sequences.</w:t>
      </w:r>
    </w:p>
    <w:p w14:paraId="1AA68986" w14:textId="77777777" w:rsidR="00983C95" w:rsidRPr="00983C95" w:rsidRDefault="00983C95" w:rsidP="00983C95">
      <w:pPr>
        <w:spacing w:after="240" w:line="240" w:lineRule="auto"/>
        <w:ind w:left="284"/>
        <w:jc w:val="both"/>
        <w:rPr>
          <w:rFonts w:ascii="Söhne" w:eastAsia="Times New Roman" w:hAnsi="Söhne" w:cs="Times New Roman"/>
          <w:strike/>
          <w:sz w:val="18"/>
          <w:lang w:val="en-IE"/>
        </w:rPr>
      </w:pPr>
      <w:r w:rsidRPr="00983C95">
        <w:rPr>
          <w:rFonts w:ascii="Söhne" w:eastAsia="Times New Roman" w:hAnsi="Söhne" w:cs="Times New Roman"/>
          <w:strike/>
          <w:sz w:val="18"/>
          <w:lang w:val="en-IE"/>
        </w:rPr>
        <w:t>PCR products may be directly sequenced or cloned and sequenced when necessary to confirm infection with IHHNV, to identify false positives or nonspecific amplification, or to distinguish the amplified products from the infectious form of the virus and demonstrate the presence of the non-infectious IHHNV-related EVEs in the host genome (Tang &amp; Lighter, 2006).</w:t>
      </w:r>
    </w:p>
    <w:p w14:paraId="01F6AA75"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4.6.</w:t>
      </w:r>
      <w:r w:rsidRPr="00983C95">
        <w:rPr>
          <w:rFonts w:ascii="Söhne Kräftig" w:eastAsia="MS Mincho" w:hAnsi="Söhne Kräftig" w:cs="Times New Roman"/>
          <w:sz w:val="21"/>
          <w:szCs w:val="20"/>
          <w:lang w:val="da-DK" w:eastAsia="da-DK"/>
        </w:rPr>
        <w:tab/>
      </w:r>
      <w:r w:rsidRPr="00983C95">
        <w:rPr>
          <w:rFonts w:ascii="Söhne Kräftig" w:eastAsia="MS Mincho" w:hAnsi="Söhne Kräftig" w:cs="Times New Roman"/>
          <w:i/>
          <w:sz w:val="21"/>
          <w:szCs w:val="20"/>
          <w:lang w:val="da-DK" w:eastAsia="da-DK"/>
        </w:rPr>
        <w:t>In-situ</w:t>
      </w:r>
      <w:r w:rsidRPr="00983C95">
        <w:rPr>
          <w:rFonts w:ascii="Söhne Kräftig" w:eastAsia="MS Mincho" w:hAnsi="Söhne Kräftig" w:cs="Times New Roman"/>
          <w:sz w:val="21"/>
          <w:szCs w:val="20"/>
          <w:lang w:val="da-DK" w:eastAsia="da-DK"/>
        </w:rPr>
        <w:t xml:space="preserve"> hybridisation</w:t>
      </w:r>
    </w:p>
    <w:p w14:paraId="6EF5F6A2"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Direct detection methods using DNA probes specific for IHHNV are available in dot-blot and ISH formats. The ISH method uses a DIG-labelled DNA probe for IHHNV and generally follows the methods outlined in Mari </w:t>
      </w:r>
      <w:r w:rsidRPr="00983C95">
        <w:rPr>
          <w:rFonts w:ascii="Söhne" w:eastAsia="Times New Roman" w:hAnsi="Söhne" w:cs="Times New Roman"/>
          <w:i/>
          <w:sz w:val="18"/>
          <w:lang w:val="en-IE"/>
        </w:rPr>
        <w:t>et al</w:t>
      </w:r>
      <w:r w:rsidRPr="00983C95">
        <w:rPr>
          <w:rFonts w:ascii="Söhne" w:eastAsia="Times New Roman" w:hAnsi="Söhne" w:cs="Times New Roman"/>
          <w:sz w:val="18"/>
          <w:lang w:val="en-IE"/>
        </w:rPr>
        <w:t>. (1993) and Lightner (1996).</w:t>
      </w:r>
    </w:p>
    <w:p w14:paraId="6D03A487" w14:textId="77777777" w:rsidR="00983C95" w:rsidRPr="00983C95" w:rsidRDefault="00983C95" w:rsidP="00983C95">
      <w:pPr>
        <w:spacing w:after="240" w:line="240" w:lineRule="auto"/>
        <w:ind w:left="284"/>
        <w:jc w:val="both"/>
        <w:rPr>
          <w:rFonts w:ascii="Garamond" w:eastAsia="Times New Roman" w:hAnsi="Garamond" w:cs="Times New Roman"/>
          <w:sz w:val="18"/>
          <w:lang w:val="en-IE" w:eastAsia="fr-FR"/>
        </w:rPr>
      </w:pPr>
      <w:r w:rsidRPr="00983C95">
        <w:rPr>
          <w:rFonts w:ascii="Söhne" w:eastAsia="Times New Roman" w:hAnsi="Söhne" w:cs="Times New Roman"/>
          <w:sz w:val="18"/>
          <w:lang w:val="en-IE"/>
        </w:rPr>
        <w:t xml:space="preserve">Gene probe and PCR methods provide greater diagnostic specificity and sensitivity than traditional techniques that employ classic histological approaches. Furthermore, these methods have the added advantage of being applicable to non-lethal testing of valuable broodstock shrimp. A haemolymph sample may be taken with a tuberculin syringe, or an appendage (a pleopod for example) may be biopsied (Bell </w:t>
      </w:r>
      <w:r w:rsidRPr="00983C95">
        <w:rPr>
          <w:rFonts w:ascii="Söhne" w:eastAsia="Times New Roman" w:hAnsi="Söhne" w:cs="Times New Roman"/>
          <w:i/>
          <w:sz w:val="18"/>
          <w:lang w:val="en-IE"/>
        </w:rPr>
        <w:t>et al</w:t>
      </w:r>
      <w:r w:rsidRPr="00983C95">
        <w:rPr>
          <w:rFonts w:ascii="Söhne" w:eastAsia="Times New Roman" w:hAnsi="Söhne" w:cs="Times New Roman"/>
          <w:sz w:val="18"/>
          <w:lang w:val="en-IE"/>
        </w:rPr>
        <w:t>., 1990), and used as the sample for a dot-blot hybridisation test.</w:t>
      </w:r>
    </w:p>
    <w:p w14:paraId="3FCBD3BE"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4.7.</w:t>
      </w:r>
      <w:r w:rsidRPr="00983C95">
        <w:rPr>
          <w:rFonts w:ascii="Söhne Kräftig" w:eastAsia="MS Mincho" w:hAnsi="Söhne Kräftig" w:cs="Times New Roman"/>
          <w:sz w:val="21"/>
          <w:szCs w:val="20"/>
          <w:lang w:val="da-DK" w:eastAsia="da-DK"/>
        </w:rPr>
        <w:tab/>
        <w:t>Immunohistochemistry</w:t>
      </w:r>
    </w:p>
    <w:p w14:paraId="0986EDE1"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Not relevant.</w:t>
      </w:r>
    </w:p>
    <w:p w14:paraId="186079A7"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4.8.</w:t>
      </w:r>
      <w:r w:rsidRPr="00983C95">
        <w:rPr>
          <w:rFonts w:ascii="Söhne Kräftig" w:eastAsia="MS Mincho" w:hAnsi="Söhne Kräftig" w:cs="Times New Roman"/>
          <w:sz w:val="21"/>
          <w:szCs w:val="20"/>
          <w:lang w:val="da-DK" w:eastAsia="da-DK"/>
        </w:rPr>
        <w:tab/>
        <w:t>Bioassay</w:t>
      </w:r>
    </w:p>
    <w:p w14:paraId="4827B5E3"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If SPF shrimp are available, the following bioassay method is based on </w:t>
      </w:r>
      <w:r w:rsidRPr="00983C95">
        <w:rPr>
          <w:rFonts w:ascii="Söhne" w:eastAsia="Yu Mincho" w:hAnsi="Söhne" w:cs="Times New Roman"/>
          <w:sz w:val="18"/>
          <w:lang w:val="en-IE" w:eastAsia="zh-CN"/>
        </w:rPr>
        <w:t>Tang</w:t>
      </w:r>
      <w:r w:rsidRPr="00983C95">
        <w:rPr>
          <w:rFonts w:ascii="Söhne" w:eastAsia="Times New Roman" w:hAnsi="Söhne" w:cs="Times New Roman"/>
          <w:sz w:val="18"/>
          <w:lang w:val="en-IE"/>
        </w:rPr>
        <w:t xml:space="preserve"> </w:t>
      </w:r>
      <w:r w:rsidRPr="00983C95">
        <w:rPr>
          <w:rFonts w:ascii="Söhne" w:eastAsia="Times New Roman" w:hAnsi="Söhne" w:cs="Times New Roman"/>
          <w:i/>
          <w:iCs/>
          <w:sz w:val="18"/>
          <w:lang w:val="en-IE"/>
        </w:rPr>
        <w:t>et al.</w:t>
      </w:r>
      <w:r w:rsidRPr="00983C95">
        <w:rPr>
          <w:rFonts w:ascii="Söhne" w:eastAsia="Times New Roman" w:hAnsi="Söhne" w:cs="Times New Roman"/>
          <w:sz w:val="18"/>
          <w:lang w:val="en-IE"/>
        </w:rPr>
        <w:t xml:space="preserve"> (</w:t>
      </w:r>
      <w:r w:rsidRPr="00983C95">
        <w:rPr>
          <w:rFonts w:ascii="Söhne" w:eastAsia="Yu Mincho" w:hAnsi="Söhne" w:cs="Times New Roman"/>
          <w:sz w:val="18"/>
          <w:lang w:val="en-IE" w:eastAsia="zh-CN"/>
        </w:rPr>
        <w:t>2000</w:t>
      </w:r>
      <w:r w:rsidRPr="00983C95">
        <w:rPr>
          <w:rFonts w:ascii="Söhne" w:eastAsia="Times New Roman" w:hAnsi="Söhne" w:cs="Times New Roman"/>
          <w:sz w:val="18"/>
          <w:lang w:val="en-IE"/>
        </w:rPr>
        <w:t xml:space="preserve">), is suitable for </w:t>
      </w:r>
      <w:r w:rsidRPr="00983C95">
        <w:rPr>
          <w:rFonts w:ascii="Söhne" w:eastAsia="Yu Mincho" w:hAnsi="Söhne" w:cs="Times New Roman"/>
          <w:sz w:val="18"/>
          <w:lang w:val="en-IE" w:eastAsia="zh-CN"/>
        </w:rPr>
        <w:t>IHHN</w:t>
      </w:r>
      <w:r w:rsidRPr="00983C95">
        <w:rPr>
          <w:rFonts w:ascii="Söhne" w:eastAsia="Times New Roman" w:hAnsi="Söhne" w:cs="Times New Roman"/>
          <w:sz w:val="18"/>
          <w:lang w:val="en-IE"/>
        </w:rPr>
        <w:t>V diagnosis.</w:t>
      </w:r>
    </w:p>
    <w:p w14:paraId="3679A47A" w14:textId="77777777" w:rsidR="00983C95" w:rsidRPr="00983C95" w:rsidRDefault="00983C95" w:rsidP="00983C95">
      <w:pPr>
        <w:pBdr>
          <w:top w:val="nil"/>
          <w:left w:val="nil"/>
          <w:bottom w:val="nil"/>
          <w:right w:val="nil"/>
          <w:between w:val="nil"/>
          <w:bar w:val="nil"/>
        </w:pBdr>
        <w:spacing w:after="120" w:line="240" w:lineRule="auto"/>
        <w:ind w:left="709" w:hanging="425"/>
        <w:jc w:val="both"/>
        <w:rPr>
          <w:rFonts w:ascii="Söhne" w:eastAsia="MS Mincho" w:hAnsi="Söhne" w:cs="Arial"/>
          <w:color w:val="000000"/>
          <w:sz w:val="18"/>
          <w:szCs w:val="18"/>
          <w:u w:color="000000"/>
          <w:bdr w:val="nil"/>
          <w:lang w:val="en-IE"/>
        </w:rPr>
      </w:pPr>
      <w:r w:rsidRPr="00983C95">
        <w:rPr>
          <w:rFonts w:ascii="Söhne" w:eastAsia="MS Mincho" w:hAnsi="Söhne" w:cs="Arial"/>
          <w:color w:val="000000"/>
          <w:sz w:val="18"/>
          <w:szCs w:val="18"/>
          <w:u w:color="000000"/>
          <w:bdr w:val="nil"/>
          <w:lang w:val="en-IE"/>
        </w:rPr>
        <w:t>i)</w:t>
      </w:r>
      <w:r w:rsidRPr="00983C95">
        <w:rPr>
          <w:rFonts w:ascii="Söhne" w:eastAsia="MS Mincho" w:hAnsi="Söhne" w:cs="Arial"/>
          <w:color w:val="000000"/>
          <w:sz w:val="18"/>
          <w:szCs w:val="18"/>
          <w:u w:color="000000"/>
          <w:bdr w:val="nil"/>
          <w:lang w:val="en-IE"/>
        </w:rPr>
        <w:tab/>
        <w:t xml:space="preserve">For bioassay, feed the minced shrimp tissue suspected of being infected with IHHNV to the indicator shrimp species (e.g. SPF </w:t>
      </w:r>
      <w:r w:rsidRPr="00983C95">
        <w:rPr>
          <w:rFonts w:ascii="Söhne" w:eastAsia="MS Mincho" w:hAnsi="Söhne" w:cs="Arial"/>
          <w:i/>
          <w:color w:val="000000"/>
          <w:sz w:val="18"/>
          <w:szCs w:val="18"/>
          <w:u w:color="000000"/>
          <w:bdr w:val="nil"/>
          <w:lang w:val="en-IE"/>
        </w:rPr>
        <w:t xml:space="preserve">P. vannamei </w:t>
      </w:r>
      <w:r w:rsidRPr="00983C95">
        <w:rPr>
          <w:rFonts w:ascii="Söhne" w:eastAsia="MS Mincho" w:hAnsi="Söhne" w:cs="Arial"/>
          <w:color w:val="000000"/>
          <w:sz w:val="18"/>
          <w:szCs w:val="18"/>
          <w:u w:color="000000"/>
          <w:bdr w:val="nil"/>
          <w:lang w:val="en-IE"/>
        </w:rPr>
        <w:t xml:space="preserve">and </w:t>
      </w:r>
      <w:r w:rsidRPr="00983C95">
        <w:rPr>
          <w:rFonts w:ascii="Söhne" w:eastAsia="MS Mincho" w:hAnsi="Söhne" w:cs="Arial"/>
          <w:i/>
          <w:color w:val="000000"/>
          <w:sz w:val="18"/>
          <w:szCs w:val="18"/>
          <w:u w:color="000000"/>
          <w:bdr w:val="nil"/>
          <w:lang w:val="en-IE"/>
        </w:rPr>
        <w:t>P. stylirostris</w:t>
      </w:r>
      <w:r w:rsidRPr="00983C95">
        <w:rPr>
          <w:rFonts w:ascii="Söhne" w:eastAsia="MS Mincho" w:hAnsi="Söhne" w:cs="Arial"/>
          <w:color w:val="000000"/>
          <w:sz w:val="18"/>
          <w:szCs w:val="18"/>
          <w:u w:color="000000"/>
          <w:bdr w:val="nil"/>
          <w:lang w:val="en-IE"/>
        </w:rPr>
        <w:t xml:space="preserve"> at the PLs or juvenile stage) at 10% of their body weight twice daily for 1 day</w:t>
      </w:r>
      <w:r w:rsidRPr="00983C95">
        <w:rPr>
          <w:rFonts w:ascii="Söhne" w:eastAsia="MS Mincho" w:hAnsi="Söhne" w:cs="Arial"/>
          <w:strike/>
          <w:color w:val="000000"/>
          <w:sz w:val="18"/>
          <w:szCs w:val="18"/>
          <w:u w:color="000000"/>
          <w:bdr w:val="nil"/>
          <w:lang w:val="en-IE"/>
        </w:rPr>
        <w:t>s</w:t>
      </w:r>
      <w:r w:rsidRPr="00983C95">
        <w:rPr>
          <w:rFonts w:ascii="Söhne" w:eastAsia="MS Mincho" w:hAnsi="Söhne" w:cs="Arial"/>
          <w:color w:val="000000"/>
          <w:sz w:val="18"/>
          <w:szCs w:val="18"/>
          <w:u w:color="000000"/>
          <w:bdr w:val="nil"/>
          <w:lang w:val="en-IE"/>
        </w:rPr>
        <w:t>.</w:t>
      </w:r>
    </w:p>
    <w:p w14:paraId="73A79C15" w14:textId="77777777" w:rsidR="00983C95" w:rsidRPr="00983C95" w:rsidRDefault="00983C95" w:rsidP="00983C95">
      <w:pPr>
        <w:pBdr>
          <w:top w:val="nil"/>
          <w:left w:val="nil"/>
          <w:bottom w:val="nil"/>
          <w:right w:val="nil"/>
          <w:between w:val="nil"/>
          <w:bar w:val="nil"/>
        </w:pBdr>
        <w:spacing w:after="120" w:line="240" w:lineRule="auto"/>
        <w:ind w:left="709" w:hanging="425"/>
        <w:jc w:val="both"/>
        <w:rPr>
          <w:rFonts w:ascii="Söhne" w:eastAsia="MS Mincho" w:hAnsi="Söhne" w:cs="Arial"/>
          <w:color w:val="000000"/>
          <w:sz w:val="18"/>
          <w:szCs w:val="18"/>
          <w:u w:color="000000"/>
          <w:bdr w:val="nil"/>
          <w:lang w:val="en-IE"/>
        </w:rPr>
      </w:pPr>
      <w:r w:rsidRPr="00983C95">
        <w:rPr>
          <w:rFonts w:ascii="Söhne" w:eastAsia="MS Mincho" w:hAnsi="Söhne" w:cs="Arial"/>
          <w:color w:val="000000"/>
          <w:sz w:val="18"/>
          <w:szCs w:val="18"/>
          <w:u w:color="000000"/>
          <w:bdr w:val="nil"/>
          <w:lang w:val="en-IE"/>
        </w:rPr>
        <w:t>ii)</w:t>
      </w:r>
      <w:r w:rsidRPr="00983C95">
        <w:rPr>
          <w:rFonts w:ascii="Söhne" w:eastAsia="MS Mincho" w:hAnsi="Söhne" w:cs="Arial"/>
          <w:color w:val="000000"/>
          <w:sz w:val="18"/>
          <w:szCs w:val="18"/>
          <w:u w:color="000000"/>
          <w:bdr w:val="nil"/>
          <w:lang w:val="en-IE"/>
        </w:rPr>
        <w:tab/>
        <w:t>For the following, the indicator shrimp were maintained on a pelletised ration.</w:t>
      </w:r>
    </w:p>
    <w:p w14:paraId="001BC193" w14:textId="77777777" w:rsidR="00983C95" w:rsidRPr="00983C95" w:rsidRDefault="00983C95" w:rsidP="00983C95">
      <w:pPr>
        <w:pBdr>
          <w:top w:val="nil"/>
          <w:left w:val="nil"/>
          <w:bottom w:val="nil"/>
          <w:right w:val="nil"/>
          <w:between w:val="nil"/>
          <w:bar w:val="nil"/>
        </w:pBdr>
        <w:spacing w:after="120" w:line="240" w:lineRule="auto"/>
        <w:ind w:left="709" w:hanging="425"/>
        <w:jc w:val="both"/>
        <w:rPr>
          <w:rFonts w:ascii="Söhne" w:eastAsia="MS Mincho" w:hAnsi="Söhne" w:cs="Arial"/>
          <w:color w:val="000000"/>
          <w:sz w:val="18"/>
          <w:szCs w:val="18"/>
          <w:u w:color="000000"/>
          <w:bdr w:val="nil"/>
          <w:lang w:val="en-IE"/>
        </w:rPr>
      </w:pPr>
      <w:r w:rsidRPr="00983C95">
        <w:rPr>
          <w:rFonts w:ascii="Söhne" w:eastAsia="MS Mincho" w:hAnsi="Söhne" w:cs="Arial"/>
          <w:color w:val="000000"/>
          <w:sz w:val="18"/>
          <w:szCs w:val="18"/>
          <w:u w:color="000000"/>
          <w:bdr w:val="nil"/>
          <w:lang w:val="en-IE"/>
        </w:rPr>
        <w:t>iii)</w:t>
      </w:r>
      <w:r w:rsidRPr="00983C95">
        <w:rPr>
          <w:rFonts w:ascii="Söhne" w:eastAsia="MS Mincho" w:hAnsi="Söhne" w:cs="Arial"/>
          <w:color w:val="000000"/>
          <w:sz w:val="18"/>
          <w:szCs w:val="18"/>
          <w:u w:color="000000"/>
          <w:bdr w:val="nil"/>
          <w:lang w:val="en-IE"/>
        </w:rPr>
        <w:tab/>
        <w:t xml:space="preserve">Examine moribund shrimp grossly or by using the methods described above. There may be no apparent mortality during the experimental period. </w:t>
      </w:r>
    </w:p>
    <w:p w14:paraId="43DDE644" w14:textId="77777777" w:rsidR="00983C95" w:rsidRPr="00983C95" w:rsidRDefault="00983C95" w:rsidP="00983C95">
      <w:pPr>
        <w:pBdr>
          <w:top w:val="nil"/>
          <w:left w:val="nil"/>
          <w:bottom w:val="nil"/>
          <w:right w:val="nil"/>
          <w:between w:val="nil"/>
          <w:bar w:val="nil"/>
        </w:pBdr>
        <w:spacing w:after="120" w:line="240" w:lineRule="auto"/>
        <w:ind w:left="709" w:hanging="425"/>
        <w:jc w:val="both"/>
        <w:rPr>
          <w:rFonts w:ascii="Söhne" w:eastAsia="MS Mincho" w:hAnsi="Söhne" w:cs="Arial"/>
          <w:color w:val="000000"/>
          <w:sz w:val="18"/>
          <w:szCs w:val="18"/>
          <w:u w:color="000000"/>
          <w:bdr w:val="nil"/>
          <w:lang w:val="en-IE"/>
        </w:rPr>
      </w:pPr>
      <w:r w:rsidRPr="00983C95">
        <w:rPr>
          <w:rFonts w:ascii="Söhne" w:eastAsia="MS Mincho" w:hAnsi="Söhne" w:cs="Arial"/>
          <w:color w:val="000000"/>
          <w:sz w:val="18"/>
          <w:szCs w:val="18"/>
          <w:u w:color="000000"/>
          <w:bdr w:val="nil"/>
          <w:lang w:val="en-IE"/>
        </w:rPr>
        <w:t>iv)</w:t>
      </w:r>
      <w:r w:rsidRPr="00983C95">
        <w:rPr>
          <w:rFonts w:ascii="Söhne" w:eastAsia="MS Mincho" w:hAnsi="Söhne" w:cs="Arial"/>
          <w:color w:val="000000"/>
          <w:sz w:val="18"/>
          <w:szCs w:val="18"/>
          <w:u w:color="000000"/>
          <w:bdr w:val="nil"/>
          <w:lang w:val="en-IE"/>
        </w:rPr>
        <w:tab/>
        <w:t xml:space="preserve">If at 30 days after feeding there are still no moribund shrimp and all </w:t>
      </w:r>
      <w:r w:rsidRPr="00983C95">
        <w:rPr>
          <w:rFonts w:ascii="Söhne" w:eastAsia="MS Mincho" w:hAnsi="Söhne" w:cs="Arial"/>
          <w:color w:val="000000"/>
          <w:sz w:val="18"/>
          <w:szCs w:val="18"/>
          <w:highlight w:val="yellow"/>
          <w:u w:val="double" w:color="000000"/>
          <w:bdr w:val="nil"/>
          <w:lang w:val="en-IE"/>
        </w:rPr>
        <w:t>molecular</w:t>
      </w:r>
      <w:r w:rsidRPr="00983C95">
        <w:rPr>
          <w:rFonts w:ascii="Söhne" w:eastAsia="MS Mincho" w:hAnsi="Söhne" w:cs="Arial"/>
          <w:color w:val="000000"/>
          <w:sz w:val="18"/>
          <w:szCs w:val="18"/>
          <w:u w:color="000000"/>
          <w:bdr w:val="nil"/>
          <w:lang w:val="en-IE"/>
        </w:rPr>
        <w:t xml:space="preserve"> test results are negative, then it is safe to conclude that the bioassay results are negative.</w:t>
      </w:r>
    </w:p>
    <w:p w14:paraId="32D78B95"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Known IHHNV positive and negative control groups should be included in the bioassay. </w:t>
      </w:r>
    </w:p>
    <w:p w14:paraId="1212A2EE"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4.9.</w:t>
      </w:r>
      <w:r w:rsidRPr="00983C95">
        <w:rPr>
          <w:rFonts w:ascii="Söhne Kräftig" w:eastAsia="MS Mincho" w:hAnsi="Söhne Kräftig" w:cs="Times New Roman"/>
          <w:sz w:val="21"/>
          <w:szCs w:val="20"/>
          <w:lang w:val="da-DK" w:eastAsia="da-DK"/>
        </w:rPr>
        <w:tab/>
        <w:t xml:space="preserve">Antibody- or antigen-based detection methods </w:t>
      </w:r>
    </w:p>
    <w:p w14:paraId="70014918"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None has been successfully developed.</w:t>
      </w:r>
    </w:p>
    <w:p w14:paraId="7C5E063E"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18"/>
          <w:lang w:val="da-DK" w:eastAsia="da-DK"/>
        </w:rPr>
        <w:t>4.10.</w:t>
      </w:r>
      <w:r w:rsidRPr="00983C95">
        <w:rPr>
          <w:rFonts w:ascii="Söhne Kräftig" w:eastAsia="MS Mincho" w:hAnsi="Söhne Kräftig" w:cs="Times New Roman"/>
          <w:sz w:val="21"/>
          <w:szCs w:val="20"/>
          <w:lang w:val="da-DK" w:eastAsia="da-DK"/>
        </w:rPr>
        <w:tab/>
        <w:t>Other methods</w:t>
      </w:r>
    </w:p>
    <w:p w14:paraId="3E226159"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hint="eastAsia"/>
          <w:sz w:val="18"/>
          <w:lang w:val="en-IE"/>
        </w:rPr>
        <w:t>N</w:t>
      </w:r>
      <w:r w:rsidRPr="00983C95">
        <w:rPr>
          <w:rFonts w:ascii="Söhne" w:eastAsia="Times New Roman" w:hAnsi="Söhne" w:cs="Times New Roman"/>
          <w:sz w:val="18"/>
          <w:lang w:val="en-IE"/>
        </w:rPr>
        <w:t>ot available.</w:t>
      </w:r>
    </w:p>
    <w:p w14:paraId="47FD71AB" w14:textId="77777777" w:rsidR="00983C95" w:rsidRPr="00983C95" w:rsidRDefault="00983C95" w:rsidP="00983C95">
      <w:pPr>
        <w:widowControl w:val="0"/>
        <w:spacing w:after="240" w:line="240" w:lineRule="auto"/>
        <w:ind w:left="284" w:right="-6" w:hanging="284"/>
        <w:jc w:val="both"/>
        <w:rPr>
          <w:rFonts w:ascii="Söhne Kräftig" w:eastAsia="Arial" w:hAnsi="Söhne Kräftig" w:cs="Arial"/>
          <w:szCs w:val="18"/>
          <w:lang w:val="en-US" w:eastAsia="fr-FR"/>
        </w:rPr>
      </w:pPr>
      <w:r w:rsidRPr="00983C95">
        <w:rPr>
          <w:rFonts w:ascii="Söhne Kräftig" w:eastAsia="Arial" w:hAnsi="Söhne Kräftig" w:cs="Arial"/>
          <w:szCs w:val="18"/>
          <w:lang w:val="en-US" w:eastAsia="fr-FR"/>
        </w:rPr>
        <w:t>5.</w:t>
      </w:r>
      <w:r w:rsidRPr="00983C95">
        <w:rPr>
          <w:rFonts w:ascii="Söhne Kräftig" w:eastAsia="Arial" w:hAnsi="Söhne Kräftig" w:cs="Arial"/>
          <w:szCs w:val="18"/>
          <w:lang w:val="en-US" w:eastAsia="fr-FR"/>
        </w:rPr>
        <w:tab/>
        <w:t>Test(s) recommended for surveillance to demonstrate freedom in apparently healthy populations</w:t>
      </w:r>
    </w:p>
    <w:p w14:paraId="60FE7AE5"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z w:val="18"/>
          <w:lang w:val="en-IE" w:bidi="en-US"/>
        </w:rPr>
        <w:t xml:space="preserve">Conventional </w:t>
      </w:r>
      <w:r w:rsidRPr="00983C95">
        <w:rPr>
          <w:rFonts w:ascii="Söhne" w:eastAsia="Times New Roman" w:hAnsi="Söhne" w:cs="Times New Roman" w:hint="eastAsia"/>
          <w:sz w:val="18"/>
          <w:lang w:val="en-IE" w:bidi="en-US"/>
        </w:rPr>
        <w:t>PCR</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hint="eastAsia"/>
          <w:sz w:val="18"/>
          <w:lang w:val="en-IE" w:bidi="en-US"/>
        </w:rPr>
        <w:t>and</w:t>
      </w:r>
      <w:r w:rsidRPr="00983C95">
        <w:rPr>
          <w:rFonts w:ascii="Söhne" w:eastAsia="Times New Roman" w:hAnsi="Söhne" w:cs="Times New Roman"/>
          <w:sz w:val="18"/>
          <w:lang w:val="en-IE" w:bidi="en-US"/>
        </w:rPr>
        <w:t>/or real-time PCR are the recommended test for surveillance to demonstrate freedom from infection with IHHNV in apparently healthy populations as described in Sections 4.4.1 and 4.4.2.</w:t>
      </w:r>
    </w:p>
    <w:p w14:paraId="1DBD91DD" w14:textId="77777777" w:rsidR="00983C95" w:rsidRPr="00983C95" w:rsidRDefault="00983C95" w:rsidP="00983C95">
      <w:pPr>
        <w:widowControl w:val="0"/>
        <w:spacing w:after="240" w:line="240" w:lineRule="auto"/>
        <w:ind w:left="284" w:right="-6" w:hanging="284"/>
        <w:jc w:val="both"/>
        <w:rPr>
          <w:rFonts w:ascii="Söhne Kräftig" w:eastAsia="Arial" w:hAnsi="Söhne Kräftig" w:cs="Arial"/>
          <w:szCs w:val="18"/>
          <w:lang w:val="en-US" w:eastAsia="fr-FR"/>
        </w:rPr>
      </w:pPr>
      <w:r w:rsidRPr="00983C95">
        <w:rPr>
          <w:rFonts w:ascii="Söhne Kräftig" w:eastAsia="Arial" w:hAnsi="Söhne Kräftig" w:cs="Arial"/>
          <w:szCs w:val="18"/>
          <w:lang w:val="en-US" w:eastAsia="fr-FR"/>
        </w:rPr>
        <w:lastRenderedPageBreak/>
        <w:t>6.</w:t>
      </w:r>
      <w:r w:rsidRPr="00983C95">
        <w:rPr>
          <w:rFonts w:ascii="Söhne Kräftig" w:eastAsia="Arial" w:hAnsi="Söhne Kräftig" w:cs="Arial"/>
          <w:szCs w:val="18"/>
          <w:lang w:val="en-US" w:eastAsia="fr-FR"/>
        </w:rPr>
        <w:tab/>
        <w:t>Corroborative diagnostic criteria</w:t>
      </w:r>
    </w:p>
    <w:p w14:paraId="0C9189A1"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46599DC2" w14:textId="77777777" w:rsidR="00983C95" w:rsidRPr="00983C95" w:rsidRDefault="00983C95" w:rsidP="00983C95">
      <w:pPr>
        <w:spacing w:after="240" w:line="240" w:lineRule="auto"/>
        <w:jc w:val="both"/>
        <w:rPr>
          <w:rFonts w:ascii="Söhne" w:eastAsia="Times New Roman" w:hAnsi="Söhne" w:cs="Times New Roman"/>
          <w:sz w:val="18"/>
          <w:szCs w:val="18"/>
          <w:lang w:val="en-IE" w:bidi="en-US"/>
        </w:rPr>
      </w:pPr>
      <w:r w:rsidRPr="00983C95">
        <w:rPr>
          <w:rFonts w:ascii="Söhne" w:eastAsia="Times New Roman" w:hAnsi="Söhne" w:cs="Times New Roman"/>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983C95">
        <w:rPr>
          <w:rFonts w:ascii="Söhne" w:eastAsia="Times New Roman" w:hAnsi="Söhne" w:cs="Times New Roman"/>
          <w:strike/>
          <w:sz w:val="18"/>
          <w:highlight w:val="yellow"/>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983C95">
        <w:rPr>
          <w:rFonts w:ascii="Söhne" w:eastAsia="Times New Roman" w:hAnsi="Söhne" w:cs="Times New Roman"/>
          <w:sz w:val="18"/>
          <w:lang w:val="en-IE" w:bidi="en-US"/>
        </w:rPr>
        <w:t xml:space="preserve"> If a </w:t>
      </w:r>
      <w:r w:rsidRPr="00983C95">
        <w:rPr>
          <w:rFonts w:ascii="Söhne" w:eastAsia="Times New Roman" w:hAnsi="Söhne" w:cs="Times New Roman"/>
          <w:strike/>
          <w:sz w:val="18"/>
          <w:lang w:val="en-IE" w:bidi="en-US"/>
        </w:rPr>
        <w:t xml:space="preserve">laboratory </w:t>
      </w:r>
      <w:r w:rsidRPr="00983C95">
        <w:rPr>
          <w:rFonts w:ascii="Söhne" w:eastAsia="Times New Roman" w:hAnsi="Söhne" w:cs="Times New Roman"/>
          <w:sz w:val="18"/>
          <w:u w:val="double"/>
          <w:lang w:val="en-IE" w:bidi="en-US"/>
        </w:rPr>
        <w:t>Competent Authority</w:t>
      </w:r>
      <w:r w:rsidRPr="00983C95">
        <w:rPr>
          <w:rFonts w:ascii="Söhne" w:eastAsia="Times New Roman" w:hAnsi="Söhne" w:cs="Times New Roman"/>
          <w:sz w:val="18"/>
          <w:lang w:val="en-IE" w:bidi="en-US"/>
        </w:rPr>
        <w:t xml:space="preserve"> does not have the </w:t>
      </w:r>
      <w:r w:rsidRPr="00983C95">
        <w:rPr>
          <w:rFonts w:ascii="Söhne" w:eastAsia="Times New Roman" w:hAnsi="Söhne" w:cs="Times New Roman"/>
          <w:strike/>
          <w:sz w:val="18"/>
          <w:highlight w:val="yellow"/>
          <w:lang w:val="en-IE" w:bidi="en-US"/>
        </w:rPr>
        <w:t xml:space="preserve">capacity </w:t>
      </w:r>
      <w:r w:rsidRPr="00983C95">
        <w:rPr>
          <w:rFonts w:ascii="Söhne" w:eastAsia="Times New Roman" w:hAnsi="Söhne" w:cs="Times New Roman"/>
          <w:sz w:val="18"/>
          <w:highlight w:val="yellow"/>
          <w:u w:val="double"/>
          <w:lang w:val="en-IE" w:bidi="en-US"/>
        </w:rPr>
        <w:t>capability</w:t>
      </w:r>
      <w:r w:rsidRPr="00983C95">
        <w:rPr>
          <w:rFonts w:ascii="Söhne" w:eastAsia="Times New Roman" w:hAnsi="Söhne" w:cs="Times New Roman"/>
          <w:sz w:val="18"/>
          <w:lang w:val="en-IE" w:bidi="en-US"/>
        </w:rPr>
        <w:t xml:space="preserve"> to undertake the necessary diagnostic tests it should seek advice from the appropriate WOAH Reference Laboratory</w:t>
      </w:r>
      <w:r w:rsidRPr="00983C95">
        <w:rPr>
          <w:rFonts w:ascii="Söhne" w:eastAsia="Times New Roman" w:hAnsi="Söhne" w:cs="Times New Roman"/>
          <w:sz w:val="18"/>
          <w:u w:val="double"/>
          <w:lang w:val="en-IE" w:bidi="en-US"/>
        </w:rPr>
        <w:t xml:space="preserve">, </w:t>
      </w:r>
      <w:r w:rsidRPr="00983C95">
        <w:rPr>
          <w:rFonts w:ascii="Söhne" w:eastAsia="Times New Roman" w:hAnsi="Söhne" w:cs="Times New Roman"/>
          <w:bCs/>
          <w:sz w:val="18"/>
          <w:szCs w:val="18"/>
          <w:u w:val="double"/>
          <w:lang w:val="en-IE" w:bidi="en-US"/>
        </w:rPr>
        <w:t xml:space="preserve">and if necessary, refer samples to that laboratory for </w:t>
      </w:r>
      <w:r w:rsidRPr="00983C95">
        <w:rPr>
          <w:rFonts w:ascii="Söhne" w:eastAsia="Times New Roman" w:hAnsi="Söhne" w:cs="Times New Roman"/>
          <w:bCs/>
          <w:sz w:val="18"/>
          <w:szCs w:val="18"/>
          <w:highlight w:val="yellow"/>
          <w:u w:val="double"/>
          <w:lang w:val="en-IE" w:bidi="en-US"/>
        </w:rPr>
        <w:t>confirmatory</w:t>
      </w:r>
      <w:r w:rsidRPr="00983C95">
        <w:rPr>
          <w:rFonts w:ascii="Söhne" w:eastAsia="Times New Roman" w:hAnsi="Söhne" w:cs="Times New Roman"/>
          <w:bCs/>
          <w:sz w:val="18"/>
          <w:szCs w:val="18"/>
          <w:u w:val="double"/>
          <w:lang w:val="en-IE" w:bidi="en-US"/>
        </w:rPr>
        <w:t xml:space="preserve"> testing </w:t>
      </w:r>
      <w:r w:rsidRPr="00983C95">
        <w:rPr>
          <w:rFonts w:ascii="Söhne" w:hAnsi="Söhne"/>
          <w:sz w:val="18"/>
          <w:szCs w:val="18"/>
          <w:highlight w:val="yellow"/>
          <w:u w:val="double"/>
          <w:lang w:val="en-US"/>
        </w:rPr>
        <w:t>of samples from the index case in a country,</w:t>
      </w:r>
      <w:r w:rsidRPr="00983C95" w:rsidDel="003216DD">
        <w:rPr>
          <w:rFonts w:ascii="Söhne" w:hAnsi="Söhne"/>
          <w:sz w:val="18"/>
          <w:szCs w:val="18"/>
          <w:highlight w:val="yellow"/>
          <w:u w:val="double"/>
          <w:lang w:val="en-US"/>
        </w:rPr>
        <w:t xml:space="preserve"> </w:t>
      </w:r>
      <w:r w:rsidRPr="00983C95">
        <w:rPr>
          <w:rFonts w:ascii="Söhne" w:hAnsi="Söhne"/>
          <w:sz w:val="18"/>
          <w:szCs w:val="18"/>
          <w:highlight w:val="yellow"/>
          <w:u w:val="double"/>
          <w:lang w:val="en-US"/>
        </w:rPr>
        <w:t>zone or compartment considered free</w:t>
      </w:r>
      <w:r w:rsidRPr="00983C95">
        <w:rPr>
          <w:rFonts w:ascii="Söhne" w:eastAsia="Times New Roman" w:hAnsi="Söhne" w:cs="Times New Roman"/>
          <w:sz w:val="18"/>
          <w:szCs w:val="18"/>
          <w:lang w:val="en-IE" w:bidi="en-US"/>
        </w:rPr>
        <w:t>.</w:t>
      </w:r>
    </w:p>
    <w:p w14:paraId="7706051F"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en-IE" w:eastAsia="da-DK"/>
        </w:rPr>
        <w:t>6</w:t>
      </w:r>
      <w:r w:rsidRPr="00983C95">
        <w:rPr>
          <w:rFonts w:ascii="Söhne Kräftig" w:eastAsia="MS Mincho" w:hAnsi="Söhne Kräftig" w:cs="Times New Roman"/>
          <w:sz w:val="21"/>
          <w:szCs w:val="20"/>
          <w:lang w:val="da-DK" w:eastAsia="da-DK"/>
        </w:rPr>
        <w:t>.1.</w:t>
      </w:r>
      <w:r w:rsidRPr="00983C95">
        <w:rPr>
          <w:rFonts w:ascii="Söhne Kräftig" w:eastAsia="MS Mincho" w:hAnsi="Söhne Kräftig" w:cs="Times New Roman"/>
          <w:sz w:val="21"/>
          <w:szCs w:val="20"/>
          <w:lang w:val="da-DK" w:eastAsia="da-DK"/>
        </w:rPr>
        <w:tab/>
        <w:t>Apparently healthy animals or animals of unknown health</w:t>
      </w:r>
      <w:r w:rsidRPr="00983C95">
        <w:rPr>
          <w:rFonts w:ascii="Söhne Kräftig" w:eastAsia="MS Mincho" w:hAnsi="Söhne Kräftig" w:cs="Times New Roman"/>
          <w:sz w:val="21"/>
          <w:szCs w:val="20"/>
          <w:lang w:val="en-IE" w:eastAsia="da-DK"/>
        </w:rPr>
        <w:t xml:space="preserve"> status</w:t>
      </w:r>
      <w:r w:rsidRPr="00983C95">
        <w:rPr>
          <w:rFonts w:ascii="ZWAdobeF" w:eastAsia="MS Mincho" w:hAnsi="ZWAdobeF" w:cs="ZWAdobeF"/>
          <w:sz w:val="2"/>
          <w:szCs w:val="2"/>
          <w:lang w:val="en-IE" w:eastAsia="da-DK"/>
        </w:rPr>
        <w:t>4F4F7F7F</w:t>
      </w:r>
      <w:r w:rsidRPr="00983C95">
        <w:rPr>
          <w:rFonts w:ascii="Söhne Kräftig" w:eastAsia="MS Mincho" w:hAnsi="Söhne Kräftig" w:cs="Arial"/>
          <w:sz w:val="18"/>
          <w:szCs w:val="18"/>
          <w:vertAlign w:val="superscript"/>
          <w:lang w:val="da-DK" w:eastAsia="da-DK"/>
        </w:rPr>
        <w:footnoteReference w:id="1"/>
      </w:r>
    </w:p>
    <w:p w14:paraId="3CFF7ACF"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Apparently healthy populations may fall under suspicion, and therefore be sampled, if there is an epidemiological link(s) to an infected population. </w:t>
      </w:r>
      <w:r w:rsidRPr="00983C95">
        <w:rPr>
          <w:rFonts w:ascii="Söhne" w:eastAsia="Times New Roman" w:hAnsi="Söhne" w:cs="Times New Roman"/>
          <w:strike/>
          <w:sz w:val="18"/>
          <w:lang w:val="en-IE"/>
        </w:rPr>
        <w:t xml:space="preserve">Geographical </w:t>
      </w:r>
      <w:r w:rsidRPr="00983C95">
        <w:rPr>
          <w:rFonts w:ascii="Söhne" w:eastAsia="Times New Roman" w:hAnsi="Söhne" w:cs="Times New Roman"/>
          <w:sz w:val="18"/>
          <w:u w:val="double"/>
          <w:lang w:val="en-IE"/>
        </w:rPr>
        <w:t>Hydrographical</w:t>
      </w:r>
      <w:r w:rsidRPr="00983C95">
        <w:rPr>
          <w:rFonts w:ascii="Söhne" w:eastAsia="Times New Roman" w:hAnsi="Söhne" w:cs="Times New Roman"/>
          <w:sz w:val="18"/>
          <w:lang w:val="en-IE"/>
        </w:rPr>
        <w:t xml:space="preserve"> proximity to, or movement of animals or animal products or equipment, etc., from a known infected population equate to an epidemiological link. Alternatively, healthy populations are sampled in surveys to demonstrate disease freedom. </w:t>
      </w:r>
    </w:p>
    <w:p w14:paraId="30173D7A" w14:textId="77777777" w:rsidR="00983C95" w:rsidRPr="00983C95" w:rsidRDefault="00983C95" w:rsidP="00983C95">
      <w:pPr>
        <w:spacing w:after="240" w:line="240" w:lineRule="auto"/>
        <w:ind w:left="284" w:firstLine="436"/>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6.1.1.</w:t>
      </w:r>
      <w:r w:rsidRPr="00983C95">
        <w:rPr>
          <w:rFonts w:ascii="Söhne Kräftig" w:eastAsia="Times New Roman" w:hAnsi="Söhne Kräftig" w:cs="Times New Roman"/>
          <w:bCs/>
          <w:sz w:val="20"/>
          <w:lang w:val="en-GB" w:eastAsia="fr-FR"/>
        </w:rPr>
        <w:tab/>
        <w:t>Definition of suspect case in apparently healthy animals</w:t>
      </w:r>
    </w:p>
    <w:p w14:paraId="069E48D7"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sz w:val="18"/>
          <w:lang w:val="en-IE"/>
        </w:rPr>
        <w:t>The presence of infection with IHHNV shall be suspected if at least one of the following criteria is met:</w:t>
      </w:r>
    </w:p>
    <w:p w14:paraId="015D1994"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lang w:val="en-IE"/>
        </w:rPr>
        <w:t>i)</w:t>
      </w:r>
      <w:r w:rsidRPr="00983C95">
        <w:rPr>
          <w:rFonts w:ascii="Söhne" w:eastAsia="MS Mincho" w:hAnsi="Söhne" w:cs="Arial"/>
          <w:sz w:val="18"/>
          <w:szCs w:val="18"/>
          <w:lang w:val="en-IE"/>
        </w:rPr>
        <w:tab/>
        <w:t>Positive result by conventional PCR</w:t>
      </w:r>
    </w:p>
    <w:p w14:paraId="6BAB0274" w14:textId="77777777" w:rsidR="00983C95" w:rsidRPr="00983C95" w:rsidRDefault="00983C95" w:rsidP="00983C95">
      <w:pPr>
        <w:spacing w:after="240" w:line="240" w:lineRule="auto"/>
        <w:ind w:left="1276" w:hanging="425"/>
        <w:jc w:val="both"/>
        <w:rPr>
          <w:rFonts w:ascii="Söhne" w:eastAsia="MS Mincho" w:hAnsi="Söhne" w:cs="Arial"/>
          <w:sz w:val="18"/>
          <w:szCs w:val="18"/>
          <w:lang w:val="en-IE" w:eastAsia="fr-FR"/>
        </w:rPr>
      </w:pPr>
      <w:r w:rsidRPr="00983C95">
        <w:rPr>
          <w:rFonts w:ascii="Söhne" w:eastAsia="MS Mincho" w:hAnsi="Söhne" w:cs="Arial"/>
          <w:sz w:val="18"/>
          <w:szCs w:val="18"/>
          <w:lang w:val="en-IE" w:eastAsia="fr-FR"/>
        </w:rPr>
        <w:t>ii)</w:t>
      </w:r>
      <w:r w:rsidRPr="00983C95">
        <w:rPr>
          <w:rFonts w:ascii="Söhne" w:eastAsia="MS Mincho" w:hAnsi="Söhne" w:cs="Arial"/>
          <w:sz w:val="18"/>
          <w:szCs w:val="18"/>
          <w:lang w:val="en-IE" w:eastAsia="fr-FR"/>
        </w:rPr>
        <w:tab/>
        <w:t>Positive result by real-time PCR</w:t>
      </w:r>
    </w:p>
    <w:p w14:paraId="1A8A051E"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6.1.2.</w:t>
      </w:r>
      <w:r w:rsidRPr="00983C95">
        <w:rPr>
          <w:rFonts w:ascii="Söhne Kräftig" w:eastAsia="Times New Roman" w:hAnsi="Söhne Kräftig" w:cs="Times New Roman"/>
          <w:bCs/>
          <w:sz w:val="20"/>
          <w:lang w:val="en-GB" w:eastAsia="fr-FR"/>
        </w:rPr>
        <w:tab/>
        <w:t>Definition of confirmed case in apparently healthy animals</w:t>
      </w:r>
    </w:p>
    <w:p w14:paraId="3BF32159"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sz w:val="18"/>
          <w:lang w:val="en-IE"/>
        </w:rPr>
        <w:t xml:space="preserve">The presence of infection with IHHNV is considered to be confirmed if </w:t>
      </w:r>
      <w:r w:rsidRPr="00983C95">
        <w:rPr>
          <w:rFonts w:ascii="Söhne" w:eastAsia="Times New Roman" w:hAnsi="Söhne" w:cs="Times New Roman"/>
          <w:strike/>
          <w:sz w:val="18"/>
          <w:highlight w:val="yellow"/>
          <w:lang w:val="en-IE"/>
        </w:rPr>
        <w:t>at least one of</w:t>
      </w:r>
      <w:r w:rsidRPr="00983C95">
        <w:rPr>
          <w:rFonts w:ascii="Söhne" w:eastAsia="Times New Roman" w:hAnsi="Söhne" w:cs="Times New Roman"/>
          <w:bCs/>
          <w:sz w:val="18"/>
          <w:lang w:val="en-IE"/>
        </w:rPr>
        <w:t xml:space="preserve"> the following </w:t>
      </w:r>
      <w:r w:rsidRPr="00983C95">
        <w:rPr>
          <w:rFonts w:ascii="Söhne" w:eastAsia="Times New Roman" w:hAnsi="Söhne" w:cs="Times New Roman"/>
          <w:bCs/>
          <w:sz w:val="18"/>
          <w:highlight w:val="yellow"/>
          <w:u w:val="double"/>
          <w:lang w:val="en-IE"/>
        </w:rPr>
        <w:t>criterion</w:t>
      </w:r>
      <w:r w:rsidRPr="00983C95">
        <w:rPr>
          <w:rFonts w:ascii="Söhne" w:eastAsia="Times New Roman" w:hAnsi="Söhne" w:cs="Times New Roman"/>
          <w:bCs/>
          <w:sz w:val="18"/>
          <w:highlight w:val="yellow"/>
          <w:lang w:val="en-IE"/>
        </w:rPr>
        <w:t xml:space="preserve"> </w:t>
      </w:r>
      <w:r w:rsidRPr="00983C95">
        <w:rPr>
          <w:rFonts w:ascii="Söhne" w:eastAsia="Times New Roman" w:hAnsi="Söhne" w:cs="Times New Roman"/>
          <w:strike/>
          <w:sz w:val="18"/>
          <w:highlight w:val="yellow"/>
          <w:lang w:val="en-IE"/>
        </w:rPr>
        <w:t>criteria</w:t>
      </w:r>
      <w:r w:rsidRPr="00983C95">
        <w:rPr>
          <w:rFonts w:ascii="Söhne" w:eastAsia="Times New Roman" w:hAnsi="Söhne" w:cs="Times New Roman"/>
          <w:strike/>
          <w:sz w:val="18"/>
          <w:lang w:val="en-IE"/>
        </w:rPr>
        <w:t xml:space="preserve"> </w:t>
      </w:r>
      <w:r w:rsidRPr="00983C95">
        <w:rPr>
          <w:rFonts w:ascii="Söhne" w:eastAsia="Times New Roman" w:hAnsi="Söhne" w:cs="Times New Roman"/>
          <w:bCs/>
          <w:sz w:val="18"/>
          <w:lang w:val="en-IE"/>
        </w:rPr>
        <w:t>is met:</w:t>
      </w:r>
    </w:p>
    <w:p w14:paraId="795317D0"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lang w:val="en-IE"/>
        </w:rPr>
        <w:t>i)</w:t>
      </w:r>
      <w:r w:rsidRPr="00983C95">
        <w:rPr>
          <w:rFonts w:ascii="Söhne" w:eastAsia="MS Mincho" w:hAnsi="Söhne" w:cs="Arial"/>
          <w:sz w:val="18"/>
          <w:szCs w:val="18"/>
          <w:lang w:val="en-IE"/>
        </w:rPr>
        <w:tab/>
        <w:t xml:space="preserve">Positive result by real-time PCR and </w:t>
      </w:r>
      <w:r w:rsidRPr="00983C95">
        <w:rPr>
          <w:rFonts w:ascii="Söhne" w:eastAsia="MS Mincho" w:hAnsi="Söhne" w:cs="Arial"/>
          <w:sz w:val="18"/>
          <w:szCs w:val="18"/>
          <w:u w:val="double"/>
          <w:lang w:val="en-IE"/>
        </w:rPr>
        <w:t>a positive result by</w:t>
      </w:r>
      <w:r w:rsidRPr="00983C95">
        <w:rPr>
          <w:rFonts w:ascii="Söhne" w:eastAsia="MS Mincho" w:hAnsi="Söhne" w:cs="Arial"/>
          <w:sz w:val="18"/>
          <w:szCs w:val="18"/>
          <w:lang w:val="en-IE"/>
        </w:rPr>
        <w:t xml:space="preserve"> conventional PCR </w:t>
      </w:r>
      <w:r w:rsidRPr="00983C95">
        <w:rPr>
          <w:rFonts w:ascii="Söhne" w:eastAsia="MS Mincho" w:hAnsi="Söhne" w:cs="Arial"/>
          <w:strike/>
          <w:sz w:val="18"/>
          <w:szCs w:val="18"/>
          <w:lang w:val="en-IE"/>
        </w:rPr>
        <w:t xml:space="preserve">targeting non-overlapping regions of the viral genome and </w:t>
      </w:r>
      <w:r w:rsidRPr="00983C95">
        <w:rPr>
          <w:rFonts w:ascii="Söhne" w:eastAsia="MS Mincho" w:hAnsi="Söhne" w:cs="Arial"/>
          <w:sz w:val="18"/>
          <w:szCs w:val="18"/>
          <w:u w:val="double"/>
          <w:lang w:val="en-IE"/>
        </w:rPr>
        <w:t>followed by</w:t>
      </w:r>
      <w:r w:rsidRPr="00983C95">
        <w:rPr>
          <w:rFonts w:ascii="Söhne" w:eastAsia="MS Mincho" w:hAnsi="Söhne" w:cs="Arial"/>
          <w:sz w:val="18"/>
          <w:szCs w:val="18"/>
          <w:lang w:val="en-IE"/>
        </w:rPr>
        <w:t xml:space="preserve"> amplicon sequencing</w:t>
      </w:r>
    </w:p>
    <w:p w14:paraId="03C58785" w14:textId="77777777" w:rsidR="00983C95" w:rsidRPr="00983C95" w:rsidRDefault="00983C95" w:rsidP="00983C95">
      <w:pPr>
        <w:spacing w:before="240" w:after="240" w:line="240" w:lineRule="auto"/>
        <w:ind w:left="851"/>
        <w:jc w:val="both"/>
        <w:rPr>
          <w:rFonts w:ascii="Arial" w:eastAsia="Times New Roman" w:hAnsi="Arial" w:cs="Times New Roman"/>
          <w:bCs/>
          <w:strike/>
          <w:sz w:val="18"/>
          <w:lang w:val="en-IE"/>
        </w:rPr>
      </w:pPr>
      <w:r w:rsidRPr="00983C95">
        <w:rPr>
          <w:rFonts w:ascii="Arial" w:eastAsia="Times New Roman" w:hAnsi="Arial"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4BEC9DA8"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6.2</w:t>
      </w:r>
      <w:r w:rsidRPr="00983C95">
        <w:rPr>
          <w:rFonts w:ascii="Söhne Kräftig" w:eastAsia="MS Mincho" w:hAnsi="Söhne Kräftig" w:cs="Times New Roman"/>
          <w:sz w:val="21"/>
          <w:szCs w:val="20"/>
          <w:lang w:val="da-DK" w:eastAsia="da-DK"/>
        </w:rPr>
        <w:tab/>
        <w:t>Clinically affected animals</w:t>
      </w:r>
    </w:p>
    <w:p w14:paraId="4F69138B"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Clinical signs are not pathognomonic for a single disease; however they may narrow the range of possible diagnoses. </w:t>
      </w:r>
    </w:p>
    <w:p w14:paraId="0D1F895A"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6.2.1. Definition of suspect case in clinically affected animals</w:t>
      </w:r>
    </w:p>
    <w:p w14:paraId="0DE4EA9C"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sz w:val="18"/>
          <w:lang w:val="en-IE"/>
        </w:rPr>
        <w:t>The presence of infection with IHHNV shall be suspected if at least one of the following criteria is met:</w:t>
      </w:r>
    </w:p>
    <w:p w14:paraId="22091CE5"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lang w:val="en-IE"/>
        </w:rPr>
        <w:t>i)</w:t>
      </w:r>
      <w:r w:rsidRPr="00983C95">
        <w:rPr>
          <w:rFonts w:ascii="Söhne" w:eastAsia="MS Mincho" w:hAnsi="Söhne" w:cs="Arial"/>
          <w:sz w:val="18"/>
          <w:szCs w:val="18"/>
          <w:lang w:val="en-IE"/>
        </w:rPr>
        <w:tab/>
        <w:t>Gross pathology or clinical signs associated with the disease as described in this chapter, with or without elevated mortality</w:t>
      </w:r>
    </w:p>
    <w:p w14:paraId="52A635D6"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lang w:val="en-IE"/>
        </w:rPr>
        <w:t>ii)</w:t>
      </w:r>
      <w:r w:rsidRPr="00983C95">
        <w:rPr>
          <w:rFonts w:ascii="Söhne" w:eastAsia="MS Mincho" w:hAnsi="Söhne" w:cs="Arial"/>
          <w:sz w:val="18"/>
          <w:szCs w:val="18"/>
          <w:lang w:val="en-IE"/>
        </w:rPr>
        <w:tab/>
      </w:r>
      <w:r w:rsidRPr="00983C95">
        <w:rPr>
          <w:rFonts w:ascii="Söhne" w:eastAsia="MS Mincho" w:hAnsi="Söhne" w:cs="Arial"/>
          <w:sz w:val="18"/>
          <w:szCs w:val="18"/>
          <w:u w:val="double"/>
          <w:lang w:val="en-IE"/>
        </w:rPr>
        <w:t>Histopathology consistent with IHHNV infection</w:t>
      </w:r>
      <w:r w:rsidRPr="00983C95">
        <w:rPr>
          <w:rFonts w:ascii="Söhne" w:eastAsia="MS Mincho" w:hAnsi="Söhne" w:cs="Arial"/>
          <w:sz w:val="18"/>
          <w:szCs w:val="18"/>
          <w:lang w:val="en-IE"/>
        </w:rPr>
        <w:t xml:space="preserve"> </w:t>
      </w:r>
    </w:p>
    <w:p w14:paraId="4D6C38DE"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u w:val="double"/>
          <w:lang w:val="en-IE"/>
        </w:rPr>
        <w:t>iii)</w:t>
      </w:r>
      <w:r w:rsidRPr="00983C95">
        <w:rPr>
          <w:rFonts w:ascii="Söhne" w:eastAsia="MS Mincho" w:hAnsi="Söhne" w:cs="Arial"/>
          <w:sz w:val="18"/>
          <w:szCs w:val="18"/>
          <w:lang w:val="en-IE"/>
        </w:rPr>
        <w:tab/>
        <w:t>Positive result by conventional PCR</w:t>
      </w:r>
    </w:p>
    <w:p w14:paraId="4BCE8C97"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trike/>
          <w:sz w:val="18"/>
          <w:szCs w:val="18"/>
          <w:lang w:val="en-IE"/>
        </w:rPr>
        <w:t>iii</w:t>
      </w:r>
      <w:r w:rsidRPr="00983C95">
        <w:rPr>
          <w:rFonts w:ascii="Söhne" w:eastAsia="MS Mincho" w:hAnsi="Söhne" w:cs="Arial"/>
          <w:sz w:val="18"/>
          <w:szCs w:val="18"/>
          <w:lang w:val="en-IE"/>
        </w:rPr>
        <w:t xml:space="preserve"> </w:t>
      </w:r>
      <w:r w:rsidRPr="00983C95">
        <w:rPr>
          <w:rFonts w:ascii="Söhne" w:eastAsia="MS Mincho" w:hAnsi="Söhne" w:cs="Arial"/>
          <w:sz w:val="18"/>
          <w:szCs w:val="18"/>
          <w:u w:val="double"/>
          <w:lang w:val="en-IE"/>
        </w:rPr>
        <w:t>iv</w:t>
      </w:r>
      <w:r w:rsidRPr="00983C95">
        <w:rPr>
          <w:rFonts w:ascii="Söhne" w:eastAsia="MS Mincho" w:hAnsi="Söhne" w:cs="Arial"/>
          <w:sz w:val="18"/>
          <w:szCs w:val="18"/>
          <w:lang w:val="en-IE"/>
        </w:rPr>
        <w:t>)</w:t>
      </w:r>
      <w:r w:rsidRPr="00983C95">
        <w:rPr>
          <w:rFonts w:ascii="Söhne" w:eastAsia="MS Mincho" w:hAnsi="Söhne" w:cs="Arial"/>
          <w:sz w:val="18"/>
          <w:szCs w:val="18"/>
          <w:lang w:val="en-IE"/>
        </w:rPr>
        <w:tab/>
        <w:t>Positive result by real-time PCR</w:t>
      </w:r>
    </w:p>
    <w:p w14:paraId="4DF464EE" w14:textId="77777777" w:rsidR="00983C95" w:rsidRPr="00983C95" w:rsidRDefault="00983C95" w:rsidP="00983C95">
      <w:pPr>
        <w:spacing w:after="120" w:line="240" w:lineRule="auto"/>
        <w:ind w:left="1276" w:hanging="425"/>
        <w:jc w:val="both"/>
        <w:rPr>
          <w:rFonts w:ascii="Söhne" w:eastAsia="MS Mincho" w:hAnsi="Söhne" w:cs="Arial"/>
          <w:strike/>
          <w:sz w:val="18"/>
          <w:szCs w:val="18"/>
          <w:lang w:val="en-IE"/>
        </w:rPr>
      </w:pPr>
      <w:r w:rsidRPr="00983C95">
        <w:rPr>
          <w:rFonts w:ascii="Söhne" w:eastAsia="MS Mincho" w:hAnsi="Söhne" w:cs="Arial"/>
          <w:strike/>
          <w:sz w:val="18"/>
          <w:szCs w:val="18"/>
          <w:lang w:val="en-IE"/>
        </w:rPr>
        <w:lastRenderedPageBreak/>
        <w:t>iv)</w:t>
      </w:r>
      <w:r w:rsidRPr="00983C95">
        <w:rPr>
          <w:rFonts w:ascii="Söhne" w:eastAsia="MS Mincho" w:hAnsi="Söhne" w:cs="Arial"/>
          <w:strike/>
          <w:sz w:val="18"/>
          <w:szCs w:val="18"/>
          <w:lang w:val="en-IE"/>
        </w:rPr>
        <w:tab/>
        <w:t>Histopathology consistent with IHHNV infection</w:t>
      </w:r>
    </w:p>
    <w:p w14:paraId="33D0E3C4" w14:textId="77777777" w:rsidR="00983C95" w:rsidRPr="00983C95" w:rsidRDefault="00983C95" w:rsidP="00983C95">
      <w:pPr>
        <w:spacing w:after="120" w:line="240" w:lineRule="auto"/>
        <w:ind w:left="1276" w:hanging="425"/>
        <w:jc w:val="both"/>
        <w:rPr>
          <w:rFonts w:ascii="Söhne" w:eastAsia="MS Mincho" w:hAnsi="Söhne" w:cs="Arial"/>
          <w:sz w:val="18"/>
          <w:szCs w:val="18"/>
          <w:u w:val="double"/>
          <w:lang w:val="en-IE"/>
        </w:rPr>
      </w:pPr>
      <w:r w:rsidRPr="00983C95">
        <w:rPr>
          <w:rFonts w:ascii="Söhne" w:eastAsia="MS Mincho" w:hAnsi="Söhne" w:cs="Arial"/>
          <w:sz w:val="18"/>
          <w:szCs w:val="18"/>
          <w:lang w:val="en-IE"/>
        </w:rPr>
        <w:t>v)</w:t>
      </w:r>
      <w:r w:rsidRPr="00983C95">
        <w:rPr>
          <w:rFonts w:ascii="Söhne" w:eastAsia="MS Mincho" w:hAnsi="Söhne" w:cs="Arial"/>
          <w:bCs/>
          <w:sz w:val="18"/>
          <w:szCs w:val="18"/>
          <w:lang w:val="en-IE"/>
        </w:rPr>
        <w:tab/>
      </w:r>
      <w:r w:rsidRPr="00983C95">
        <w:rPr>
          <w:rFonts w:ascii="Söhne" w:eastAsia="MS Mincho" w:hAnsi="Söhne" w:cs="Arial"/>
          <w:sz w:val="18"/>
          <w:szCs w:val="18"/>
          <w:lang w:val="en-IE"/>
        </w:rPr>
        <w:t xml:space="preserve">Positive result by </w:t>
      </w:r>
      <w:r w:rsidRPr="00983C95">
        <w:rPr>
          <w:rFonts w:ascii="Söhne" w:eastAsia="MS Mincho" w:hAnsi="Söhne" w:cs="Arial"/>
          <w:i/>
          <w:sz w:val="18"/>
          <w:szCs w:val="18"/>
          <w:lang w:val="en-IE"/>
        </w:rPr>
        <w:t>in-situ</w:t>
      </w:r>
      <w:r w:rsidRPr="00983C95">
        <w:rPr>
          <w:rFonts w:ascii="Söhne" w:eastAsia="MS Mincho" w:hAnsi="Söhne" w:cs="Arial"/>
          <w:sz w:val="18"/>
          <w:szCs w:val="18"/>
          <w:lang w:val="en-IE"/>
        </w:rPr>
        <w:t xml:space="preserve"> hybridisation</w:t>
      </w:r>
    </w:p>
    <w:p w14:paraId="6FBE9FDB" w14:textId="77777777" w:rsidR="00983C95" w:rsidRPr="00983C95" w:rsidRDefault="00983C95" w:rsidP="00983C95">
      <w:pPr>
        <w:spacing w:after="240" w:line="240" w:lineRule="auto"/>
        <w:ind w:left="1276" w:hanging="425"/>
        <w:jc w:val="both"/>
        <w:rPr>
          <w:rFonts w:ascii="Söhne" w:eastAsia="MS Mincho" w:hAnsi="Söhne" w:cs="Arial"/>
          <w:bCs/>
          <w:sz w:val="18"/>
          <w:szCs w:val="18"/>
          <w:u w:val="double"/>
          <w:lang w:val="en-IE"/>
        </w:rPr>
      </w:pPr>
      <w:r w:rsidRPr="00983C95">
        <w:rPr>
          <w:rFonts w:ascii="Söhne" w:eastAsia="MS Mincho" w:hAnsi="Söhne" w:cs="Arial"/>
          <w:sz w:val="18"/>
          <w:szCs w:val="18"/>
          <w:highlight w:val="yellow"/>
          <w:u w:val="double"/>
          <w:lang w:val="en-IE"/>
        </w:rPr>
        <w:t>vi)</w:t>
      </w:r>
      <w:r w:rsidRPr="00983C95">
        <w:rPr>
          <w:rFonts w:ascii="Söhne" w:eastAsia="MS Mincho" w:hAnsi="Söhne" w:cs="Arial"/>
          <w:sz w:val="18"/>
          <w:szCs w:val="18"/>
          <w:highlight w:val="yellow"/>
          <w:u w:val="double"/>
          <w:lang w:val="en-IE"/>
        </w:rPr>
        <w:tab/>
        <w:t>Positive result by bioassay</w:t>
      </w:r>
    </w:p>
    <w:p w14:paraId="7F078399"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6.2.2.</w:t>
      </w:r>
      <w:r w:rsidRPr="00983C95">
        <w:rPr>
          <w:rFonts w:ascii="Söhne Kräftig" w:eastAsia="Times New Roman" w:hAnsi="Söhne Kräftig" w:cs="Times New Roman"/>
          <w:bCs/>
          <w:sz w:val="20"/>
          <w:lang w:val="en-GB" w:eastAsia="fr-FR"/>
        </w:rPr>
        <w:tab/>
        <w:t>Definition of confirmed case in clinically affected animals</w:t>
      </w:r>
    </w:p>
    <w:p w14:paraId="5E508C47" w14:textId="77777777" w:rsidR="00983C95" w:rsidRPr="00983C95" w:rsidRDefault="00983C95" w:rsidP="00983C95">
      <w:pPr>
        <w:spacing w:after="240" w:line="240" w:lineRule="auto"/>
        <w:ind w:left="851"/>
        <w:jc w:val="both"/>
        <w:rPr>
          <w:rFonts w:ascii="Söhne" w:eastAsia="Times New Roman" w:hAnsi="Söhne" w:cs="Times New Roman"/>
          <w:bCs/>
          <w:sz w:val="18"/>
          <w:lang w:val="en-IE"/>
        </w:rPr>
      </w:pPr>
      <w:r w:rsidRPr="00983C95">
        <w:rPr>
          <w:rFonts w:ascii="Söhne" w:eastAsia="Times New Roman" w:hAnsi="Söhne" w:cs="Times New Roman"/>
          <w:bCs/>
          <w:sz w:val="18"/>
          <w:lang w:val="en-IE"/>
        </w:rPr>
        <w:t>The presence of infection with IHHNV is considered to be confirmed if at least one of the following criteria is met:</w:t>
      </w:r>
    </w:p>
    <w:p w14:paraId="532257D5"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sz w:val="18"/>
          <w:szCs w:val="18"/>
          <w:lang w:val="en-IE"/>
        </w:rPr>
        <w:t>i)</w:t>
      </w:r>
      <w:r w:rsidRPr="00983C95">
        <w:rPr>
          <w:rFonts w:ascii="Söhne" w:eastAsia="MS Mincho" w:hAnsi="Söhne" w:cs="Arial"/>
          <w:sz w:val="18"/>
          <w:szCs w:val="18"/>
          <w:lang w:val="en-IE"/>
        </w:rPr>
        <w:tab/>
        <w:t xml:space="preserve">Positive result by real-time PCR and </w:t>
      </w:r>
      <w:r w:rsidRPr="00983C95">
        <w:rPr>
          <w:rFonts w:ascii="Söhne" w:eastAsia="MS Mincho" w:hAnsi="Söhne" w:cs="Arial"/>
          <w:sz w:val="18"/>
          <w:szCs w:val="18"/>
          <w:u w:val="double"/>
          <w:lang w:val="en-IE"/>
        </w:rPr>
        <w:t>a positive result by</w:t>
      </w:r>
      <w:r w:rsidRPr="00983C95">
        <w:rPr>
          <w:rFonts w:ascii="Söhne" w:eastAsia="MS Mincho" w:hAnsi="Söhne" w:cs="Arial"/>
          <w:sz w:val="18"/>
          <w:szCs w:val="18"/>
          <w:lang w:val="en-IE"/>
        </w:rPr>
        <w:t xml:space="preserve"> conventional PCR </w:t>
      </w:r>
      <w:r w:rsidRPr="00983C95">
        <w:rPr>
          <w:rFonts w:ascii="Söhne" w:eastAsia="MS Mincho" w:hAnsi="Söhne" w:cs="Arial"/>
          <w:strike/>
          <w:sz w:val="18"/>
          <w:szCs w:val="18"/>
          <w:lang w:val="en-IE"/>
        </w:rPr>
        <w:t xml:space="preserve">targeting non-overlapping regions of the viral genome and </w:t>
      </w:r>
      <w:r w:rsidRPr="00983C95">
        <w:rPr>
          <w:rFonts w:ascii="Söhne" w:eastAsia="MS Mincho" w:hAnsi="Söhne" w:cs="Arial"/>
          <w:sz w:val="18"/>
          <w:szCs w:val="18"/>
          <w:u w:val="double"/>
          <w:lang w:val="en-IE"/>
        </w:rPr>
        <w:t>followed by</w:t>
      </w:r>
      <w:r w:rsidRPr="00983C95">
        <w:rPr>
          <w:rFonts w:ascii="Söhne" w:eastAsia="MS Mincho" w:hAnsi="Söhne" w:cs="Arial"/>
          <w:sz w:val="18"/>
          <w:szCs w:val="18"/>
          <w:lang w:val="en-IE"/>
        </w:rPr>
        <w:t xml:space="preserve"> amplicon sequencing</w:t>
      </w:r>
    </w:p>
    <w:p w14:paraId="679070A0" w14:textId="77777777" w:rsidR="00983C95" w:rsidRPr="00983C95" w:rsidRDefault="00983C95" w:rsidP="00983C95">
      <w:pPr>
        <w:spacing w:after="120" w:line="240" w:lineRule="auto"/>
        <w:ind w:left="1276" w:hanging="425"/>
        <w:jc w:val="both"/>
        <w:rPr>
          <w:rFonts w:ascii="Söhne" w:eastAsia="MS Mincho" w:hAnsi="Söhne" w:cs="Arial"/>
          <w:sz w:val="18"/>
          <w:szCs w:val="18"/>
          <w:lang w:val="en-IE"/>
        </w:rPr>
      </w:pPr>
      <w:r w:rsidRPr="00983C95">
        <w:rPr>
          <w:rFonts w:ascii="Söhne" w:eastAsia="MS Mincho" w:hAnsi="Söhne" w:cs="Arial" w:hint="eastAsia"/>
          <w:sz w:val="18"/>
          <w:szCs w:val="18"/>
          <w:lang w:val="en-IE"/>
        </w:rPr>
        <w:t>i</w:t>
      </w:r>
      <w:r w:rsidRPr="00983C95">
        <w:rPr>
          <w:rFonts w:ascii="Söhne" w:eastAsia="MS Mincho" w:hAnsi="Söhne" w:cs="Arial"/>
          <w:sz w:val="18"/>
          <w:szCs w:val="18"/>
          <w:lang w:val="en-IE"/>
        </w:rPr>
        <w:t>i)</w:t>
      </w:r>
      <w:r w:rsidRPr="00983C95">
        <w:rPr>
          <w:rFonts w:ascii="Söhne" w:eastAsia="MS Mincho" w:hAnsi="Söhne" w:cs="Arial"/>
          <w:sz w:val="18"/>
          <w:szCs w:val="18"/>
          <w:lang w:val="en-IE"/>
        </w:rPr>
        <w:tab/>
      </w:r>
      <w:r w:rsidRPr="00983C95">
        <w:rPr>
          <w:rFonts w:ascii="Söhne" w:eastAsia="MS Mincho" w:hAnsi="Söhne" w:cs="Arial"/>
          <w:strike/>
          <w:sz w:val="18"/>
          <w:szCs w:val="18"/>
          <w:lang w:val="en-IE"/>
        </w:rPr>
        <w:t xml:space="preserve">Histopathology consistent with IHHNV infection coupled with </w:t>
      </w:r>
      <w:r w:rsidRPr="00983C95">
        <w:rPr>
          <w:rFonts w:ascii="Söhne" w:eastAsia="MS Mincho" w:hAnsi="Söhne" w:cs="Arial"/>
          <w:sz w:val="18"/>
          <w:szCs w:val="18"/>
          <w:u w:val="double"/>
          <w:lang w:val="en-IE"/>
        </w:rPr>
        <w:t>A positive result by</w:t>
      </w:r>
      <w:r w:rsidRPr="00983C95">
        <w:rPr>
          <w:rFonts w:ascii="Söhne" w:eastAsia="MS Mincho" w:hAnsi="Söhne" w:cs="Arial"/>
          <w:sz w:val="18"/>
          <w:szCs w:val="18"/>
          <w:lang w:val="en-IE"/>
        </w:rPr>
        <w:t xml:space="preserve"> </w:t>
      </w:r>
      <w:r w:rsidRPr="00983C95">
        <w:rPr>
          <w:rFonts w:ascii="Söhne" w:eastAsia="MS Mincho" w:hAnsi="Söhne" w:cs="Arial"/>
          <w:i/>
          <w:iCs/>
          <w:sz w:val="18"/>
          <w:szCs w:val="18"/>
          <w:lang w:val="en-IE"/>
        </w:rPr>
        <w:t>in-situ</w:t>
      </w:r>
      <w:r w:rsidRPr="00983C95">
        <w:rPr>
          <w:rFonts w:ascii="Söhne" w:eastAsia="MS Mincho" w:hAnsi="Söhne" w:cs="Arial"/>
          <w:sz w:val="18"/>
          <w:szCs w:val="18"/>
          <w:lang w:val="en-IE"/>
        </w:rPr>
        <w:t xml:space="preserve"> hybridisation and </w:t>
      </w:r>
      <w:r w:rsidRPr="00983C95">
        <w:rPr>
          <w:rFonts w:ascii="Söhne" w:eastAsia="MS Mincho" w:hAnsi="Söhne" w:cs="Arial"/>
          <w:strike/>
          <w:sz w:val="18"/>
          <w:szCs w:val="18"/>
          <w:lang w:val="en-IE"/>
        </w:rPr>
        <w:t>detection of IHHNV</w:t>
      </w:r>
      <w:r w:rsidRPr="00983C95">
        <w:rPr>
          <w:rFonts w:ascii="Söhne" w:eastAsia="MS Mincho" w:hAnsi="Söhne" w:cs="Arial"/>
          <w:sz w:val="18"/>
          <w:szCs w:val="18"/>
          <w:lang w:val="en-IE"/>
        </w:rPr>
        <w:t xml:space="preserve"> </w:t>
      </w:r>
      <w:r w:rsidRPr="00983C95">
        <w:rPr>
          <w:rFonts w:ascii="Söhne" w:eastAsia="MS Mincho" w:hAnsi="Söhne" w:cs="Arial"/>
          <w:sz w:val="18"/>
          <w:szCs w:val="18"/>
          <w:u w:val="double"/>
          <w:lang w:val="en-IE"/>
        </w:rPr>
        <w:t>a positive result</w:t>
      </w:r>
      <w:r w:rsidRPr="00983C95">
        <w:rPr>
          <w:rFonts w:ascii="Söhne" w:eastAsia="MS Mincho" w:hAnsi="Söhne" w:cs="Arial"/>
          <w:sz w:val="18"/>
          <w:szCs w:val="18"/>
          <w:lang w:val="en-IE"/>
        </w:rPr>
        <w:t xml:space="preserve"> by real-time PCR</w:t>
      </w:r>
    </w:p>
    <w:p w14:paraId="2B3D99B2" w14:textId="77777777" w:rsidR="00983C95" w:rsidRPr="00983C95" w:rsidRDefault="00983C95" w:rsidP="00983C95">
      <w:pPr>
        <w:spacing w:after="240" w:line="240" w:lineRule="auto"/>
        <w:ind w:left="1276" w:hanging="425"/>
        <w:jc w:val="both"/>
        <w:rPr>
          <w:rFonts w:ascii="Söhne" w:eastAsia="MS Mincho" w:hAnsi="Söhne" w:cs="Arial"/>
          <w:sz w:val="18"/>
          <w:szCs w:val="18"/>
          <w:lang w:val="en-IE"/>
        </w:rPr>
      </w:pPr>
      <w:r w:rsidRPr="00983C95">
        <w:rPr>
          <w:rFonts w:ascii="Söhne" w:eastAsia="MS Mincho" w:hAnsi="Söhne" w:cs="Arial" w:hint="eastAsia"/>
          <w:sz w:val="18"/>
          <w:szCs w:val="18"/>
          <w:lang w:val="en-IE"/>
        </w:rPr>
        <w:t>i</w:t>
      </w:r>
      <w:r w:rsidRPr="00983C95">
        <w:rPr>
          <w:rFonts w:ascii="Söhne" w:eastAsia="MS Mincho" w:hAnsi="Söhne" w:cs="Arial"/>
          <w:sz w:val="18"/>
          <w:szCs w:val="18"/>
          <w:lang w:val="en-IE"/>
        </w:rPr>
        <w:t>ii)</w:t>
      </w:r>
      <w:r w:rsidRPr="00983C95">
        <w:rPr>
          <w:rFonts w:ascii="Söhne" w:eastAsia="MS Mincho" w:hAnsi="Söhne" w:cs="Arial"/>
          <w:sz w:val="18"/>
          <w:szCs w:val="18"/>
          <w:lang w:val="en-IE"/>
        </w:rPr>
        <w:tab/>
      </w:r>
      <w:r w:rsidRPr="00983C95">
        <w:rPr>
          <w:rFonts w:ascii="Söhne" w:eastAsia="MS Mincho" w:hAnsi="Söhne" w:cs="Arial"/>
          <w:strike/>
          <w:sz w:val="18"/>
          <w:szCs w:val="18"/>
          <w:lang w:val="en-IE"/>
        </w:rPr>
        <w:t xml:space="preserve">Histopathology consistent with IHHNV infection coupled with </w:t>
      </w:r>
      <w:r w:rsidRPr="00983C95">
        <w:rPr>
          <w:rFonts w:ascii="Söhne" w:eastAsia="MS Mincho" w:hAnsi="Söhne" w:cs="Arial"/>
          <w:sz w:val="18"/>
          <w:szCs w:val="18"/>
          <w:u w:val="double"/>
          <w:lang w:val="en-IE"/>
        </w:rPr>
        <w:t>A positive result by</w:t>
      </w:r>
      <w:r w:rsidRPr="00983C95">
        <w:rPr>
          <w:rFonts w:ascii="Söhne" w:eastAsia="MS Mincho" w:hAnsi="Söhne" w:cs="Arial"/>
          <w:sz w:val="18"/>
          <w:szCs w:val="18"/>
          <w:lang w:val="en-IE"/>
        </w:rPr>
        <w:t xml:space="preserve"> </w:t>
      </w:r>
      <w:r w:rsidRPr="00983C95">
        <w:rPr>
          <w:rFonts w:ascii="Söhne" w:eastAsia="MS Mincho" w:hAnsi="Söhne" w:cs="Arial"/>
          <w:i/>
          <w:iCs/>
          <w:sz w:val="18"/>
          <w:szCs w:val="18"/>
          <w:lang w:val="en-IE"/>
        </w:rPr>
        <w:t>in-situ</w:t>
      </w:r>
      <w:r w:rsidRPr="00983C95">
        <w:rPr>
          <w:rFonts w:ascii="Söhne" w:eastAsia="MS Mincho" w:hAnsi="Söhne" w:cs="Arial"/>
          <w:sz w:val="18"/>
          <w:szCs w:val="18"/>
          <w:lang w:val="en-IE"/>
        </w:rPr>
        <w:t xml:space="preserve"> hybridisation and </w:t>
      </w:r>
      <w:r w:rsidRPr="00983C95">
        <w:rPr>
          <w:rFonts w:ascii="Söhne" w:eastAsia="MS Mincho" w:hAnsi="Söhne" w:cs="Arial"/>
          <w:strike/>
          <w:sz w:val="18"/>
          <w:szCs w:val="18"/>
          <w:lang w:val="en-IE"/>
        </w:rPr>
        <w:t>detection of IHHNV by</w:t>
      </w:r>
      <w:r w:rsidRPr="00983C95">
        <w:rPr>
          <w:rFonts w:ascii="Söhne" w:eastAsia="MS Mincho" w:hAnsi="Söhne" w:cs="Arial"/>
          <w:sz w:val="18"/>
          <w:szCs w:val="18"/>
          <w:lang w:val="en-IE"/>
        </w:rPr>
        <w:t xml:space="preserve"> </w:t>
      </w:r>
      <w:r w:rsidRPr="00983C95">
        <w:rPr>
          <w:rFonts w:ascii="Söhne" w:eastAsia="MS Mincho" w:hAnsi="Söhne" w:cs="Arial"/>
          <w:sz w:val="18"/>
          <w:szCs w:val="18"/>
          <w:u w:val="double"/>
          <w:lang w:val="en-IE"/>
        </w:rPr>
        <w:t>a positive result by</w:t>
      </w:r>
      <w:r w:rsidRPr="00983C95">
        <w:rPr>
          <w:rFonts w:ascii="Söhne" w:eastAsia="MS Mincho" w:hAnsi="Söhne" w:cs="Arial"/>
          <w:sz w:val="18"/>
          <w:szCs w:val="18"/>
          <w:lang w:val="en-IE"/>
        </w:rPr>
        <w:t xml:space="preserve"> conventional PCR </w:t>
      </w:r>
      <w:r w:rsidRPr="00983C95">
        <w:rPr>
          <w:rFonts w:ascii="Söhne" w:eastAsia="MS Mincho" w:hAnsi="Söhne" w:cs="Arial"/>
          <w:strike/>
          <w:sz w:val="18"/>
          <w:szCs w:val="18"/>
          <w:lang w:val="en-IE"/>
        </w:rPr>
        <w:t xml:space="preserve">and </w:t>
      </w:r>
      <w:r w:rsidRPr="00983C95">
        <w:rPr>
          <w:rFonts w:ascii="Söhne" w:eastAsia="MS Mincho" w:hAnsi="Söhne" w:cs="Arial"/>
          <w:sz w:val="18"/>
          <w:szCs w:val="18"/>
          <w:u w:val="double"/>
          <w:lang w:val="en-IE"/>
        </w:rPr>
        <w:t>followed by</w:t>
      </w:r>
      <w:r w:rsidRPr="00983C95">
        <w:rPr>
          <w:rFonts w:ascii="Söhne" w:eastAsia="MS Mincho" w:hAnsi="Söhne" w:cs="Arial"/>
          <w:sz w:val="18"/>
          <w:szCs w:val="18"/>
          <w:lang w:val="en-IE"/>
        </w:rPr>
        <w:t xml:space="preserve"> amplicon sequencing</w:t>
      </w:r>
    </w:p>
    <w:p w14:paraId="753E06E5" w14:textId="77777777" w:rsidR="00983C95" w:rsidRPr="00983C95" w:rsidRDefault="00983C95" w:rsidP="00983C95">
      <w:pPr>
        <w:spacing w:after="240" w:line="240" w:lineRule="auto"/>
        <w:ind w:left="851"/>
        <w:jc w:val="both"/>
        <w:rPr>
          <w:rFonts w:ascii="Söhne" w:eastAsia="Times New Roman" w:hAnsi="Söhne" w:cs="Times New Roman"/>
          <w:bCs/>
          <w:strike/>
          <w:sz w:val="18"/>
          <w:lang w:val="en-IE"/>
        </w:rPr>
      </w:pPr>
      <w:r w:rsidRPr="00983C95">
        <w:rPr>
          <w:rFonts w:ascii="Söhne" w:eastAsia="Times New Roman" w:hAnsi="Söhne"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679B7919" w14:textId="77777777" w:rsidR="00983C95" w:rsidRPr="00983C95" w:rsidRDefault="00983C95" w:rsidP="00983C95">
      <w:pPr>
        <w:spacing w:after="240" w:line="240" w:lineRule="auto"/>
        <w:ind w:left="851" w:hanging="567"/>
        <w:jc w:val="both"/>
        <w:rPr>
          <w:rFonts w:ascii="Söhne Kräftig" w:eastAsia="MS Mincho" w:hAnsi="Söhne Kräftig" w:cs="Times New Roman"/>
          <w:sz w:val="21"/>
          <w:szCs w:val="20"/>
          <w:lang w:val="da-DK" w:eastAsia="da-DK"/>
        </w:rPr>
      </w:pPr>
      <w:r w:rsidRPr="00983C95">
        <w:rPr>
          <w:rFonts w:ascii="Söhne Kräftig" w:eastAsia="MS Mincho" w:hAnsi="Söhne Kräftig" w:cs="Times New Roman"/>
          <w:sz w:val="21"/>
          <w:szCs w:val="20"/>
          <w:lang w:val="da-DK" w:eastAsia="da-DK"/>
        </w:rPr>
        <w:t>6.3.</w:t>
      </w:r>
      <w:r w:rsidRPr="00983C95">
        <w:rPr>
          <w:rFonts w:ascii="Söhne Kräftig" w:eastAsia="MS Mincho" w:hAnsi="Söhne Kräftig" w:cs="Times New Roman"/>
          <w:sz w:val="21"/>
          <w:szCs w:val="20"/>
          <w:lang w:val="da-DK" w:eastAsia="da-DK"/>
        </w:rPr>
        <w:tab/>
        <w:t>Diagnostic sensitivity and specificity for diagnostic tests [under study]</w:t>
      </w:r>
    </w:p>
    <w:p w14:paraId="5281A24D" w14:textId="77777777" w:rsidR="00983C95" w:rsidRPr="00983C95" w:rsidRDefault="00983C95" w:rsidP="00983C95">
      <w:pPr>
        <w:spacing w:after="240" w:line="240" w:lineRule="auto"/>
        <w:ind w:left="284"/>
        <w:jc w:val="both"/>
        <w:rPr>
          <w:rFonts w:ascii="Söhne" w:eastAsia="Times New Roman" w:hAnsi="Söhne" w:cs="Times New Roman"/>
          <w:sz w:val="18"/>
          <w:lang w:val="en-IE"/>
        </w:rPr>
      </w:pPr>
      <w:r w:rsidRPr="00983C95">
        <w:rPr>
          <w:rFonts w:ascii="Söhne" w:eastAsia="Times New Roman" w:hAnsi="Söhne" w:cs="Times New Roman"/>
          <w:sz w:val="18"/>
          <w:lang w:val="en-IE"/>
        </w:rPr>
        <w:t xml:space="preserve">The diagnostic performance of tests recommended for surveillance or diagnosis of infection with IHHNV is provided in Table 6.3.1 </w:t>
      </w:r>
      <w:r w:rsidRPr="00983C95">
        <w:rPr>
          <w:rFonts w:ascii="Söhne" w:eastAsia="Times New Roman" w:hAnsi="Söhne" w:cs="Times New Roman"/>
          <w:sz w:val="18"/>
          <w:u w:val="double"/>
          <w:lang w:val="en-IE"/>
        </w:rPr>
        <w:t>(</w:t>
      </w:r>
      <w:r w:rsidRPr="00983C95">
        <w:rPr>
          <w:rFonts w:ascii="Söhne" w:eastAsia="Times New Roman" w:hAnsi="Söhne" w:cs="Times New Roman"/>
          <w:strike/>
          <w:sz w:val="18"/>
          <w:highlight w:val="yellow"/>
          <w:lang w:val="en-IE"/>
        </w:rPr>
        <w:t xml:space="preserve">none </w:t>
      </w:r>
      <w:r w:rsidRPr="00983C95">
        <w:rPr>
          <w:rFonts w:ascii="Söhne" w:eastAsia="Times New Roman" w:hAnsi="Söhne" w:cs="Times New Roman"/>
          <w:sz w:val="18"/>
          <w:highlight w:val="yellow"/>
          <w:u w:val="double"/>
          <w:lang w:val="en-IE"/>
        </w:rPr>
        <w:t>no data are currently</w:t>
      </w:r>
      <w:r w:rsidRPr="00983C95">
        <w:rPr>
          <w:rFonts w:ascii="Söhne" w:eastAsia="Times New Roman" w:hAnsi="Söhne" w:cs="Times New Roman"/>
          <w:sz w:val="18"/>
          <w:u w:val="double"/>
          <w:lang w:val="en-IE"/>
        </w:rPr>
        <w:t xml:space="preserve"> available </w:t>
      </w:r>
      <w:r w:rsidRPr="00983C95">
        <w:rPr>
          <w:rFonts w:ascii="Söhne" w:eastAsia="Times New Roman" w:hAnsi="Söhne" w:cs="Times New Roman"/>
          <w:sz w:val="18"/>
          <w:highlight w:val="yellow"/>
          <w:u w:val="double"/>
          <w:lang w:val="en-IE"/>
        </w:rPr>
        <w:t>for either</w:t>
      </w:r>
      <w:r w:rsidRPr="00983C95">
        <w:rPr>
          <w:rFonts w:ascii="Söhne" w:eastAsia="Times New Roman" w:hAnsi="Söhne" w:cs="Times New Roman"/>
          <w:sz w:val="18"/>
          <w:u w:val="double"/>
          <w:lang w:val="en-IE"/>
        </w:rPr>
        <w:t>)</w:t>
      </w:r>
      <w:r w:rsidRPr="00983C95">
        <w:rPr>
          <w:rFonts w:ascii="Söhne" w:eastAsia="Times New Roman" w:hAnsi="Söhne" w:cs="Times New Roman"/>
          <w:sz w:val="18"/>
          <w:lang w:val="en-IE"/>
        </w:rPr>
        <w:t>. This information can be used for the design of surveys for infection with IHHNV,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23C453B"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da-DK" w:eastAsia="fr-FR"/>
        </w:rPr>
        <w:t>6.3.1</w:t>
      </w:r>
      <w:r w:rsidRPr="00983C95">
        <w:rPr>
          <w:rFonts w:ascii="Söhne Kräftig" w:eastAsia="Times New Roman" w:hAnsi="Söhne Kräftig" w:cs="Times New Roman"/>
          <w:bCs/>
          <w:sz w:val="20"/>
          <w:lang w:val="en-GB" w:eastAsia="fr-FR"/>
        </w:rPr>
        <w:t>.</w:t>
      </w:r>
      <w:r w:rsidRPr="00983C95">
        <w:rPr>
          <w:rFonts w:ascii="Söhne Kräftig" w:eastAsia="Times New Roman" w:hAnsi="Söhne Kräftig" w:cs="Times New Roman"/>
          <w:bCs/>
          <w:sz w:val="20"/>
          <w:lang w:val="da-DK" w:eastAsia="fr-FR"/>
        </w:rPr>
        <w:tab/>
        <w:t>For p</w:t>
      </w:r>
      <w:r w:rsidRPr="00983C95">
        <w:rPr>
          <w:rFonts w:ascii="Söhne Kräftig" w:eastAsia="Times New Roman" w:hAnsi="Söhne Kräftig" w:cs="Times New Roman"/>
          <w:bCs/>
          <w:sz w:val="20"/>
          <w:lang w:val="en-GB" w:eastAsia="fr-FR"/>
        </w:rPr>
        <w:t>resumptive diagnosis of clinically affected animals</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27"/>
        <w:gridCol w:w="850"/>
        <w:gridCol w:w="1559"/>
        <w:gridCol w:w="1190"/>
        <w:gridCol w:w="1039"/>
        <w:gridCol w:w="567"/>
        <w:gridCol w:w="567"/>
        <w:gridCol w:w="993"/>
        <w:gridCol w:w="1263"/>
      </w:tblGrid>
      <w:tr w:rsidR="00983C95" w:rsidRPr="00983C95" w14:paraId="632D0691" w14:textId="77777777" w:rsidTr="005E584A">
        <w:trPr>
          <w:tblHeader/>
          <w:jc w:val="center"/>
        </w:trPr>
        <w:tc>
          <w:tcPr>
            <w:tcW w:w="1027" w:type="dxa"/>
            <w:tcMar>
              <w:top w:w="0" w:type="dxa"/>
              <w:left w:w="108" w:type="dxa"/>
              <w:bottom w:w="0" w:type="dxa"/>
              <w:right w:w="108" w:type="dxa"/>
            </w:tcMar>
            <w:vAlign w:val="center"/>
            <w:hideMark/>
          </w:tcPr>
          <w:p w14:paraId="6D38B96E"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Test type</w:t>
            </w:r>
          </w:p>
        </w:tc>
        <w:tc>
          <w:tcPr>
            <w:tcW w:w="850" w:type="dxa"/>
            <w:tcMar>
              <w:top w:w="0" w:type="dxa"/>
              <w:left w:w="108" w:type="dxa"/>
              <w:bottom w:w="0" w:type="dxa"/>
              <w:right w:w="108" w:type="dxa"/>
            </w:tcMar>
            <w:vAlign w:val="center"/>
            <w:hideMark/>
          </w:tcPr>
          <w:p w14:paraId="342E985D"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Test purpose</w:t>
            </w:r>
          </w:p>
        </w:tc>
        <w:tc>
          <w:tcPr>
            <w:tcW w:w="1559" w:type="dxa"/>
            <w:tcMar>
              <w:top w:w="0" w:type="dxa"/>
              <w:left w:w="108" w:type="dxa"/>
              <w:bottom w:w="0" w:type="dxa"/>
              <w:right w:w="108" w:type="dxa"/>
            </w:tcMar>
            <w:vAlign w:val="center"/>
            <w:hideMark/>
          </w:tcPr>
          <w:p w14:paraId="7A97F4BC"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Source populations</w:t>
            </w:r>
          </w:p>
        </w:tc>
        <w:tc>
          <w:tcPr>
            <w:tcW w:w="1190" w:type="dxa"/>
            <w:tcMar>
              <w:top w:w="0" w:type="dxa"/>
              <w:left w:w="108" w:type="dxa"/>
              <w:bottom w:w="0" w:type="dxa"/>
              <w:right w:w="108" w:type="dxa"/>
            </w:tcMar>
            <w:vAlign w:val="center"/>
            <w:hideMark/>
          </w:tcPr>
          <w:p w14:paraId="3294BF0B"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Tissue or sample types</w:t>
            </w:r>
          </w:p>
        </w:tc>
        <w:tc>
          <w:tcPr>
            <w:tcW w:w="1039" w:type="dxa"/>
            <w:tcMar>
              <w:top w:w="0" w:type="dxa"/>
              <w:left w:w="108" w:type="dxa"/>
              <w:bottom w:w="0" w:type="dxa"/>
              <w:right w:w="108" w:type="dxa"/>
            </w:tcMar>
            <w:vAlign w:val="center"/>
            <w:hideMark/>
          </w:tcPr>
          <w:p w14:paraId="0F71CE75"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Species</w:t>
            </w:r>
          </w:p>
        </w:tc>
        <w:tc>
          <w:tcPr>
            <w:tcW w:w="567" w:type="dxa"/>
            <w:tcMar>
              <w:top w:w="0" w:type="dxa"/>
              <w:left w:w="108" w:type="dxa"/>
              <w:bottom w:w="0" w:type="dxa"/>
              <w:right w:w="108" w:type="dxa"/>
            </w:tcMar>
            <w:vAlign w:val="center"/>
            <w:hideMark/>
          </w:tcPr>
          <w:p w14:paraId="1C0A2098"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DSe (</w:t>
            </w:r>
            <w:r w:rsidRPr="00983C95">
              <w:rPr>
                <w:rFonts w:ascii="Söhne Kräftig" w:eastAsia="Calibri" w:hAnsi="Söhne Kräftig" w:cs="Arial"/>
                <w:i/>
                <w:iCs/>
                <w:sz w:val="16"/>
                <w:szCs w:val="16"/>
                <w:lang w:val="en-IE" w:eastAsia="fr-FR"/>
              </w:rPr>
              <w:t>n</w:t>
            </w:r>
            <w:r w:rsidRPr="00983C95">
              <w:rPr>
                <w:rFonts w:ascii="Söhne Kräftig" w:eastAsia="Calibri" w:hAnsi="Söhne Kräftig" w:cs="Arial"/>
                <w:sz w:val="16"/>
                <w:szCs w:val="16"/>
                <w:lang w:val="en-IE" w:eastAsia="fr-FR"/>
              </w:rPr>
              <w:t>)</w:t>
            </w:r>
          </w:p>
        </w:tc>
        <w:tc>
          <w:tcPr>
            <w:tcW w:w="567" w:type="dxa"/>
            <w:tcMar>
              <w:top w:w="0" w:type="dxa"/>
              <w:left w:w="108" w:type="dxa"/>
              <w:bottom w:w="0" w:type="dxa"/>
              <w:right w:w="108" w:type="dxa"/>
            </w:tcMar>
            <w:vAlign w:val="center"/>
            <w:hideMark/>
          </w:tcPr>
          <w:p w14:paraId="4B9122A3"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DSp (</w:t>
            </w:r>
            <w:r w:rsidRPr="00983C95">
              <w:rPr>
                <w:rFonts w:ascii="Söhne Kräftig" w:eastAsia="Calibri" w:hAnsi="Söhne Kräftig" w:cs="Arial"/>
                <w:i/>
                <w:iCs/>
                <w:sz w:val="16"/>
                <w:szCs w:val="16"/>
                <w:lang w:val="en-IE" w:eastAsia="fr-FR"/>
              </w:rPr>
              <w:t>n</w:t>
            </w:r>
            <w:r w:rsidRPr="00983C95">
              <w:rPr>
                <w:rFonts w:ascii="Söhne Kräftig" w:eastAsia="Calibri" w:hAnsi="Söhne Kräftig" w:cs="Arial"/>
                <w:sz w:val="16"/>
                <w:szCs w:val="16"/>
                <w:lang w:val="en-IE" w:eastAsia="fr-FR"/>
              </w:rPr>
              <w:t>)</w:t>
            </w:r>
          </w:p>
        </w:tc>
        <w:tc>
          <w:tcPr>
            <w:tcW w:w="993" w:type="dxa"/>
            <w:tcMar>
              <w:top w:w="0" w:type="dxa"/>
              <w:left w:w="108" w:type="dxa"/>
              <w:bottom w:w="0" w:type="dxa"/>
              <w:right w:w="108" w:type="dxa"/>
            </w:tcMar>
            <w:vAlign w:val="center"/>
            <w:hideMark/>
          </w:tcPr>
          <w:p w14:paraId="19EAA2A1"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Reference test</w:t>
            </w:r>
          </w:p>
        </w:tc>
        <w:tc>
          <w:tcPr>
            <w:tcW w:w="1263" w:type="dxa"/>
            <w:tcMar>
              <w:top w:w="0" w:type="dxa"/>
              <w:left w:w="108" w:type="dxa"/>
              <w:bottom w:w="0" w:type="dxa"/>
              <w:right w:w="108" w:type="dxa"/>
            </w:tcMar>
            <w:vAlign w:val="center"/>
            <w:hideMark/>
          </w:tcPr>
          <w:p w14:paraId="596DC50A"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Citation</w:t>
            </w:r>
          </w:p>
        </w:tc>
      </w:tr>
      <w:tr w:rsidR="00983C95" w:rsidRPr="00983C95" w14:paraId="4FAFB2C5" w14:textId="77777777" w:rsidTr="005E584A">
        <w:trPr>
          <w:trHeight w:val="454"/>
          <w:jc w:val="center"/>
        </w:trPr>
        <w:tc>
          <w:tcPr>
            <w:tcW w:w="1027" w:type="dxa"/>
            <w:tcMar>
              <w:top w:w="0" w:type="dxa"/>
              <w:left w:w="108" w:type="dxa"/>
              <w:bottom w:w="0" w:type="dxa"/>
              <w:right w:w="108" w:type="dxa"/>
            </w:tcMar>
            <w:vAlign w:val="center"/>
          </w:tcPr>
          <w:p w14:paraId="5161E522"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850" w:type="dxa"/>
            <w:tcMar>
              <w:top w:w="0" w:type="dxa"/>
              <w:left w:w="108" w:type="dxa"/>
              <w:bottom w:w="0" w:type="dxa"/>
              <w:right w:w="108" w:type="dxa"/>
            </w:tcMar>
            <w:vAlign w:val="center"/>
          </w:tcPr>
          <w:p w14:paraId="33A017E1"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1559" w:type="dxa"/>
            <w:tcMar>
              <w:top w:w="0" w:type="dxa"/>
              <w:left w:w="108" w:type="dxa"/>
              <w:bottom w:w="0" w:type="dxa"/>
              <w:right w:w="108" w:type="dxa"/>
            </w:tcMar>
            <w:vAlign w:val="center"/>
          </w:tcPr>
          <w:p w14:paraId="1FC0D401"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1190" w:type="dxa"/>
            <w:tcMar>
              <w:top w:w="0" w:type="dxa"/>
              <w:left w:w="108" w:type="dxa"/>
              <w:bottom w:w="0" w:type="dxa"/>
              <w:right w:w="108" w:type="dxa"/>
            </w:tcMar>
            <w:vAlign w:val="center"/>
          </w:tcPr>
          <w:p w14:paraId="4391E5DB"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1039" w:type="dxa"/>
            <w:tcMar>
              <w:top w:w="0" w:type="dxa"/>
              <w:left w:w="108" w:type="dxa"/>
              <w:bottom w:w="0" w:type="dxa"/>
              <w:right w:w="108" w:type="dxa"/>
            </w:tcMar>
            <w:vAlign w:val="center"/>
          </w:tcPr>
          <w:p w14:paraId="4F2BE4F0" w14:textId="77777777" w:rsidR="00983C95" w:rsidRPr="00983C95" w:rsidRDefault="00983C95" w:rsidP="00983C95">
            <w:pPr>
              <w:spacing w:before="120" w:after="120"/>
              <w:ind w:left="-57"/>
              <w:jc w:val="center"/>
              <w:rPr>
                <w:rFonts w:ascii="Söhne" w:eastAsia="Calibri" w:hAnsi="Söhne" w:cs="Arial"/>
                <w:i/>
                <w:iCs/>
                <w:sz w:val="16"/>
                <w:szCs w:val="16"/>
                <w:lang w:val="it-IT" w:eastAsia="fr-FR"/>
              </w:rPr>
            </w:pPr>
          </w:p>
        </w:tc>
        <w:tc>
          <w:tcPr>
            <w:tcW w:w="567" w:type="dxa"/>
            <w:tcMar>
              <w:top w:w="0" w:type="dxa"/>
              <w:left w:w="108" w:type="dxa"/>
              <w:bottom w:w="0" w:type="dxa"/>
              <w:right w:w="108" w:type="dxa"/>
            </w:tcMar>
            <w:vAlign w:val="center"/>
          </w:tcPr>
          <w:p w14:paraId="61FAB7FB"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567" w:type="dxa"/>
            <w:tcMar>
              <w:top w:w="0" w:type="dxa"/>
              <w:left w:w="108" w:type="dxa"/>
              <w:bottom w:w="0" w:type="dxa"/>
              <w:right w:w="108" w:type="dxa"/>
            </w:tcMar>
            <w:vAlign w:val="center"/>
          </w:tcPr>
          <w:p w14:paraId="6A710E7E"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993" w:type="dxa"/>
            <w:tcMar>
              <w:top w:w="0" w:type="dxa"/>
              <w:left w:w="108" w:type="dxa"/>
              <w:bottom w:w="0" w:type="dxa"/>
              <w:right w:w="108" w:type="dxa"/>
            </w:tcMar>
            <w:vAlign w:val="center"/>
          </w:tcPr>
          <w:p w14:paraId="0E45F0B6"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c>
          <w:tcPr>
            <w:tcW w:w="1263" w:type="dxa"/>
            <w:tcMar>
              <w:top w:w="0" w:type="dxa"/>
              <w:left w:w="108" w:type="dxa"/>
              <w:bottom w:w="0" w:type="dxa"/>
              <w:right w:w="108" w:type="dxa"/>
            </w:tcMar>
            <w:vAlign w:val="center"/>
          </w:tcPr>
          <w:p w14:paraId="2C30300A" w14:textId="77777777" w:rsidR="00983C95" w:rsidRPr="00983C95" w:rsidRDefault="00983C95" w:rsidP="00983C95">
            <w:pPr>
              <w:spacing w:before="120" w:after="120"/>
              <w:ind w:left="-57"/>
              <w:jc w:val="center"/>
              <w:rPr>
                <w:rFonts w:ascii="Söhne" w:eastAsia="Calibri" w:hAnsi="Söhne" w:cs="Arial"/>
                <w:sz w:val="16"/>
                <w:szCs w:val="16"/>
                <w:lang w:val="en-IE" w:eastAsia="fr-FR"/>
              </w:rPr>
            </w:pPr>
          </w:p>
        </w:tc>
      </w:tr>
    </w:tbl>
    <w:p w14:paraId="2269FFD1" w14:textId="77777777" w:rsidR="00983C95" w:rsidRPr="00983C95" w:rsidRDefault="00983C95" w:rsidP="00983C95">
      <w:pPr>
        <w:widowControl w:val="0"/>
        <w:autoSpaceDE w:val="0"/>
        <w:autoSpaceDN w:val="0"/>
        <w:spacing w:before="120" w:after="360" w:line="240" w:lineRule="auto"/>
        <w:jc w:val="center"/>
        <w:rPr>
          <w:rFonts w:ascii="Söhne" w:eastAsia="Arial" w:hAnsi="Söhne" w:cs="Arial"/>
          <w:sz w:val="16"/>
          <w:szCs w:val="16"/>
          <w:lang w:val="en-US"/>
        </w:rPr>
      </w:pPr>
      <w:r w:rsidRPr="00983C95">
        <w:rPr>
          <w:rFonts w:ascii="Söhne" w:eastAsia="Arial" w:hAnsi="Söhne" w:cs="Arial"/>
          <w:sz w:val="16"/>
          <w:szCs w:val="16"/>
          <w:lang w:val="en-US"/>
        </w:rPr>
        <w:t xml:space="preserve">DSe = diagnostic sensitivity, DSp = diagnostic specificity, </w:t>
      </w:r>
      <w:r w:rsidRPr="00983C95">
        <w:rPr>
          <w:rFonts w:ascii="Söhne" w:eastAsia="Arial" w:hAnsi="Söhne" w:cs="Arial"/>
          <w:i/>
          <w:iCs/>
          <w:sz w:val="16"/>
          <w:szCs w:val="16"/>
          <w:lang w:val="en-US"/>
        </w:rPr>
        <w:t>n</w:t>
      </w:r>
      <w:r w:rsidRPr="00983C95">
        <w:rPr>
          <w:rFonts w:ascii="Söhne" w:eastAsia="Arial" w:hAnsi="Söhne" w:cs="Arial"/>
          <w:sz w:val="16"/>
          <w:szCs w:val="16"/>
          <w:lang w:val="en-US"/>
        </w:rPr>
        <w:t xml:space="preserve"> = number of samples used in the study,</w:t>
      </w:r>
      <w:r w:rsidRPr="00983C95">
        <w:rPr>
          <w:rFonts w:ascii="Söhne" w:eastAsia="Arial" w:hAnsi="Söhne" w:cs="Arial"/>
          <w:sz w:val="16"/>
          <w:szCs w:val="16"/>
          <w:lang w:val="en-US"/>
        </w:rPr>
        <w:br/>
        <w:t>PCR: = polymerase chain reaction.</w:t>
      </w:r>
    </w:p>
    <w:p w14:paraId="5787BD01" w14:textId="77777777" w:rsidR="00983C95" w:rsidRPr="00983C95" w:rsidRDefault="00983C95" w:rsidP="00983C95">
      <w:pPr>
        <w:spacing w:after="120" w:line="240" w:lineRule="auto"/>
        <w:ind w:left="1418" w:hanging="567"/>
        <w:jc w:val="both"/>
        <w:rPr>
          <w:rFonts w:ascii="Söhne Kräftig" w:eastAsia="Times New Roman" w:hAnsi="Söhne Kräftig" w:cs="Times New Roman"/>
          <w:bCs/>
          <w:sz w:val="20"/>
          <w:lang w:val="en-GB" w:eastAsia="fr-FR"/>
        </w:rPr>
      </w:pPr>
      <w:r w:rsidRPr="00983C95">
        <w:rPr>
          <w:rFonts w:ascii="Söhne Kräftig" w:eastAsia="Times New Roman" w:hAnsi="Söhne Kräftig" w:cs="Times New Roman"/>
          <w:bCs/>
          <w:sz w:val="20"/>
          <w:lang w:val="en-GB" w:eastAsia="fr-FR"/>
        </w:rPr>
        <w:t>6.3.2.</w:t>
      </w:r>
      <w:r w:rsidRPr="00983C95">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26"/>
        <w:gridCol w:w="1022"/>
        <w:gridCol w:w="1163"/>
        <w:gridCol w:w="1101"/>
        <w:gridCol w:w="1216"/>
        <w:gridCol w:w="635"/>
        <w:gridCol w:w="642"/>
        <w:gridCol w:w="1231"/>
        <w:gridCol w:w="962"/>
      </w:tblGrid>
      <w:tr w:rsidR="00983C95" w:rsidRPr="00983C95" w14:paraId="4271BEC6" w14:textId="77777777" w:rsidTr="005E584A">
        <w:tc>
          <w:tcPr>
            <w:tcW w:w="926" w:type="dxa"/>
            <w:tcMar>
              <w:top w:w="0" w:type="dxa"/>
              <w:left w:w="108" w:type="dxa"/>
              <w:bottom w:w="0" w:type="dxa"/>
              <w:right w:w="108" w:type="dxa"/>
            </w:tcMar>
            <w:vAlign w:val="center"/>
            <w:hideMark/>
          </w:tcPr>
          <w:p w14:paraId="0D6AC587"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Test type</w:t>
            </w:r>
          </w:p>
        </w:tc>
        <w:tc>
          <w:tcPr>
            <w:tcW w:w="1022" w:type="dxa"/>
            <w:tcMar>
              <w:top w:w="0" w:type="dxa"/>
              <w:left w:w="108" w:type="dxa"/>
              <w:bottom w:w="0" w:type="dxa"/>
              <w:right w:w="108" w:type="dxa"/>
            </w:tcMar>
            <w:vAlign w:val="center"/>
            <w:hideMark/>
          </w:tcPr>
          <w:p w14:paraId="542890AD"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Test purpose</w:t>
            </w:r>
          </w:p>
        </w:tc>
        <w:tc>
          <w:tcPr>
            <w:tcW w:w="1163" w:type="dxa"/>
            <w:tcMar>
              <w:top w:w="0" w:type="dxa"/>
              <w:left w:w="108" w:type="dxa"/>
              <w:bottom w:w="0" w:type="dxa"/>
              <w:right w:w="108" w:type="dxa"/>
            </w:tcMar>
            <w:vAlign w:val="center"/>
            <w:hideMark/>
          </w:tcPr>
          <w:p w14:paraId="33432560"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Source populations</w:t>
            </w:r>
          </w:p>
        </w:tc>
        <w:tc>
          <w:tcPr>
            <w:tcW w:w="1101" w:type="dxa"/>
            <w:tcMar>
              <w:top w:w="0" w:type="dxa"/>
              <w:left w:w="108" w:type="dxa"/>
              <w:bottom w:w="0" w:type="dxa"/>
              <w:right w:w="108" w:type="dxa"/>
            </w:tcMar>
            <w:vAlign w:val="center"/>
            <w:hideMark/>
          </w:tcPr>
          <w:p w14:paraId="31FD9643"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Tissue or sample types</w:t>
            </w:r>
          </w:p>
        </w:tc>
        <w:tc>
          <w:tcPr>
            <w:tcW w:w="1216" w:type="dxa"/>
            <w:tcMar>
              <w:top w:w="0" w:type="dxa"/>
              <w:left w:w="108" w:type="dxa"/>
              <w:bottom w:w="0" w:type="dxa"/>
              <w:right w:w="108" w:type="dxa"/>
            </w:tcMar>
            <w:vAlign w:val="center"/>
            <w:hideMark/>
          </w:tcPr>
          <w:p w14:paraId="687A5FA1"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Species</w:t>
            </w:r>
          </w:p>
        </w:tc>
        <w:tc>
          <w:tcPr>
            <w:tcW w:w="635" w:type="dxa"/>
            <w:tcMar>
              <w:top w:w="0" w:type="dxa"/>
              <w:left w:w="108" w:type="dxa"/>
              <w:bottom w:w="0" w:type="dxa"/>
              <w:right w:w="108" w:type="dxa"/>
            </w:tcMar>
            <w:vAlign w:val="center"/>
            <w:hideMark/>
          </w:tcPr>
          <w:p w14:paraId="39B394C8"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DSe (</w:t>
            </w:r>
            <w:r w:rsidRPr="00983C95">
              <w:rPr>
                <w:rFonts w:ascii="Söhne Kräftig" w:eastAsia="Calibri" w:hAnsi="Söhne Kräftig" w:cs="Arial"/>
                <w:i/>
                <w:iCs/>
                <w:sz w:val="16"/>
                <w:szCs w:val="16"/>
                <w:lang w:val="en-IE" w:eastAsia="fr-FR"/>
              </w:rPr>
              <w:t>n</w:t>
            </w:r>
            <w:r w:rsidRPr="00983C95">
              <w:rPr>
                <w:rFonts w:ascii="Söhne Kräftig" w:eastAsia="Calibri" w:hAnsi="Söhne Kräftig" w:cs="Arial"/>
                <w:sz w:val="16"/>
                <w:szCs w:val="16"/>
                <w:lang w:val="en-IE" w:eastAsia="fr-FR"/>
              </w:rPr>
              <w:t>)</w:t>
            </w:r>
          </w:p>
        </w:tc>
        <w:tc>
          <w:tcPr>
            <w:tcW w:w="642" w:type="dxa"/>
            <w:tcMar>
              <w:top w:w="0" w:type="dxa"/>
              <w:left w:w="108" w:type="dxa"/>
              <w:bottom w:w="0" w:type="dxa"/>
              <w:right w:w="108" w:type="dxa"/>
            </w:tcMar>
            <w:vAlign w:val="center"/>
            <w:hideMark/>
          </w:tcPr>
          <w:p w14:paraId="395F88B6"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DSp (</w:t>
            </w:r>
            <w:r w:rsidRPr="00983C95">
              <w:rPr>
                <w:rFonts w:ascii="Söhne Kräftig" w:eastAsia="Calibri" w:hAnsi="Söhne Kräftig" w:cs="Arial"/>
                <w:i/>
                <w:iCs/>
                <w:sz w:val="16"/>
                <w:szCs w:val="16"/>
                <w:lang w:val="en-IE" w:eastAsia="fr-FR"/>
              </w:rPr>
              <w:t>n</w:t>
            </w:r>
            <w:r w:rsidRPr="00983C95">
              <w:rPr>
                <w:rFonts w:ascii="Söhne Kräftig" w:eastAsia="Calibri" w:hAnsi="Söhne Kräftig" w:cs="Arial"/>
                <w:sz w:val="16"/>
                <w:szCs w:val="16"/>
                <w:lang w:val="en-IE" w:eastAsia="fr-FR"/>
              </w:rPr>
              <w:t>)</w:t>
            </w:r>
          </w:p>
        </w:tc>
        <w:tc>
          <w:tcPr>
            <w:tcW w:w="1231" w:type="dxa"/>
            <w:tcMar>
              <w:top w:w="0" w:type="dxa"/>
              <w:left w:w="108" w:type="dxa"/>
              <w:bottom w:w="0" w:type="dxa"/>
              <w:right w:w="108" w:type="dxa"/>
            </w:tcMar>
            <w:vAlign w:val="center"/>
            <w:hideMark/>
          </w:tcPr>
          <w:p w14:paraId="210C6F9B"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Reference test</w:t>
            </w:r>
          </w:p>
        </w:tc>
        <w:tc>
          <w:tcPr>
            <w:tcW w:w="962" w:type="dxa"/>
            <w:tcMar>
              <w:top w:w="0" w:type="dxa"/>
              <w:left w:w="108" w:type="dxa"/>
              <w:bottom w:w="0" w:type="dxa"/>
              <w:right w:w="108" w:type="dxa"/>
            </w:tcMar>
            <w:vAlign w:val="center"/>
            <w:hideMark/>
          </w:tcPr>
          <w:p w14:paraId="75225DB4" w14:textId="77777777" w:rsidR="00983C95" w:rsidRPr="00983C95" w:rsidRDefault="00983C95" w:rsidP="00983C95">
            <w:pPr>
              <w:spacing w:before="120" w:after="120"/>
              <w:ind w:left="-57"/>
              <w:jc w:val="center"/>
              <w:rPr>
                <w:rFonts w:ascii="Söhne Kräftig" w:eastAsia="Calibri" w:hAnsi="Söhne Kräftig" w:cs="Arial"/>
                <w:sz w:val="16"/>
                <w:szCs w:val="16"/>
              </w:rPr>
            </w:pPr>
            <w:r w:rsidRPr="00983C95">
              <w:rPr>
                <w:rFonts w:ascii="Söhne Kräftig" w:eastAsia="Calibri" w:hAnsi="Söhne Kräftig" w:cs="Arial"/>
                <w:sz w:val="16"/>
                <w:szCs w:val="16"/>
                <w:lang w:val="en-IE" w:eastAsia="fr-FR"/>
              </w:rPr>
              <w:t>Citation</w:t>
            </w:r>
          </w:p>
        </w:tc>
      </w:tr>
      <w:tr w:rsidR="00983C95" w:rsidRPr="00983C95" w14:paraId="7C07A7DD" w14:textId="77777777" w:rsidTr="005E584A">
        <w:tc>
          <w:tcPr>
            <w:tcW w:w="926" w:type="dxa"/>
            <w:tcMar>
              <w:top w:w="0" w:type="dxa"/>
              <w:left w:w="108" w:type="dxa"/>
              <w:bottom w:w="0" w:type="dxa"/>
              <w:right w:w="108" w:type="dxa"/>
            </w:tcMar>
            <w:vAlign w:val="center"/>
          </w:tcPr>
          <w:p w14:paraId="20B0797D" w14:textId="77777777" w:rsidR="00983C95" w:rsidRPr="00983C95" w:rsidRDefault="00983C95" w:rsidP="00983C95">
            <w:pPr>
              <w:spacing w:before="120" w:after="120"/>
              <w:ind w:left="-57"/>
              <w:jc w:val="center"/>
              <w:rPr>
                <w:rFonts w:ascii="Söhne" w:eastAsia="Calibri" w:hAnsi="Söhne" w:cs="Arial"/>
                <w:sz w:val="16"/>
                <w:szCs w:val="16"/>
              </w:rPr>
            </w:pPr>
          </w:p>
        </w:tc>
        <w:tc>
          <w:tcPr>
            <w:tcW w:w="1022" w:type="dxa"/>
            <w:tcMar>
              <w:top w:w="0" w:type="dxa"/>
              <w:left w:w="108" w:type="dxa"/>
              <w:bottom w:w="0" w:type="dxa"/>
              <w:right w:w="108" w:type="dxa"/>
            </w:tcMar>
            <w:vAlign w:val="center"/>
          </w:tcPr>
          <w:p w14:paraId="2D3175CC" w14:textId="77777777" w:rsidR="00983C95" w:rsidRPr="00983C95" w:rsidRDefault="00983C95" w:rsidP="00983C95">
            <w:pPr>
              <w:spacing w:before="120" w:after="120"/>
              <w:ind w:left="-57"/>
              <w:jc w:val="center"/>
              <w:rPr>
                <w:rFonts w:ascii="Söhne" w:eastAsia="Calibri" w:hAnsi="Söhne" w:cs="Arial"/>
                <w:sz w:val="16"/>
                <w:szCs w:val="16"/>
              </w:rPr>
            </w:pPr>
          </w:p>
        </w:tc>
        <w:tc>
          <w:tcPr>
            <w:tcW w:w="1163" w:type="dxa"/>
            <w:tcMar>
              <w:top w:w="0" w:type="dxa"/>
              <w:left w:w="108" w:type="dxa"/>
              <w:bottom w:w="0" w:type="dxa"/>
              <w:right w:w="108" w:type="dxa"/>
            </w:tcMar>
            <w:vAlign w:val="center"/>
          </w:tcPr>
          <w:p w14:paraId="5D80CE3A" w14:textId="77777777" w:rsidR="00983C95" w:rsidRPr="00983C95" w:rsidRDefault="00983C95" w:rsidP="00983C95">
            <w:pPr>
              <w:spacing w:before="120" w:after="120"/>
              <w:ind w:left="-57"/>
              <w:jc w:val="center"/>
              <w:rPr>
                <w:rFonts w:ascii="Söhne" w:eastAsia="Calibri" w:hAnsi="Söhne" w:cs="Arial"/>
                <w:sz w:val="16"/>
                <w:szCs w:val="16"/>
              </w:rPr>
            </w:pPr>
          </w:p>
        </w:tc>
        <w:tc>
          <w:tcPr>
            <w:tcW w:w="1101" w:type="dxa"/>
            <w:tcMar>
              <w:top w:w="0" w:type="dxa"/>
              <w:left w:w="108" w:type="dxa"/>
              <w:bottom w:w="0" w:type="dxa"/>
              <w:right w:w="108" w:type="dxa"/>
            </w:tcMar>
            <w:vAlign w:val="center"/>
          </w:tcPr>
          <w:p w14:paraId="31746CF9" w14:textId="77777777" w:rsidR="00983C95" w:rsidRPr="00983C95" w:rsidRDefault="00983C95" w:rsidP="00983C95">
            <w:pPr>
              <w:spacing w:before="120" w:after="120"/>
              <w:ind w:left="-57"/>
              <w:jc w:val="center"/>
              <w:rPr>
                <w:rFonts w:ascii="Söhne" w:eastAsia="Calibri" w:hAnsi="Söhne" w:cs="Arial"/>
                <w:sz w:val="16"/>
                <w:szCs w:val="16"/>
              </w:rPr>
            </w:pPr>
          </w:p>
        </w:tc>
        <w:tc>
          <w:tcPr>
            <w:tcW w:w="1216" w:type="dxa"/>
            <w:tcMar>
              <w:top w:w="0" w:type="dxa"/>
              <w:left w:w="108" w:type="dxa"/>
              <w:bottom w:w="0" w:type="dxa"/>
              <w:right w:w="108" w:type="dxa"/>
            </w:tcMar>
            <w:vAlign w:val="center"/>
          </w:tcPr>
          <w:p w14:paraId="5A85677E" w14:textId="77777777" w:rsidR="00983C95" w:rsidRPr="00983C95" w:rsidRDefault="00983C95" w:rsidP="00983C95">
            <w:pPr>
              <w:spacing w:before="120" w:after="120"/>
              <w:ind w:left="-57"/>
              <w:jc w:val="center"/>
              <w:rPr>
                <w:rFonts w:ascii="Söhne" w:eastAsia="Calibri" w:hAnsi="Söhne" w:cs="Arial"/>
                <w:sz w:val="16"/>
                <w:szCs w:val="16"/>
                <w:lang w:val="it-IT"/>
              </w:rPr>
            </w:pPr>
          </w:p>
        </w:tc>
        <w:tc>
          <w:tcPr>
            <w:tcW w:w="635" w:type="dxa"/>
            <w:tcMar>
              <w:top w:w="0" w:type="dxa"/>
              <w:left w:w="108" w:type="dxa"/>
              <w:bottom w:w="0" w:type="dxa"/>
              <w:right w:w="108" w:type="dxa"/>
            </w:tcMar>
            <w:vAlign w:val="center"/>
          </w:tcPr>
          <w:p w14:paraId="4AE04136" w14:textId="77777777" w:rsidR="00983C95" w:rsidRPr="00983C95" w:rsidRDefault="00983C95" w:rsidP="00983C95">
            <w:pPr>
              <w:spacing w:before="120" w:after="120"/>
              <w:ind w:left="-57"/>
              <w:jc w:val="center"/>
              <w:rPr>
                <w:rFonts w:ascii="Söhne" w:eastAsia="Calibri" w:hAnsi="Söhne" w:cs="Arial"/>
                <w:sz w:val="16"/>
                <w:szCs w:val="16"/>
              </w:rPr>
            </w:pPr>
          </w:p>
        </w:tc>
        <w:tc>
          <w:tcPr>
            <w:tcW w:w="642" w:type="dxa"/>
            <w:tcMar>
              <w:top w:w="0" w:type="dxa"/>
              <w:left w:w="108" w:type="dxa"/>
              <w:bottom w:w="0" w:type="dxa"/>
              <w:right w:w="108" w:type="dxa"/>
            </w:tcMar>
            <w:vAlign w:val="center"/>
          </w:tcPr>
          <w:p w14:paraId="183298CD" w14:textId="77777777" w:rsidR="00983C95" w:rsidRPr="00983C95" w:rsidRDefault="00983C95" w:rsidP="00983C95">
            <w:pPr>
              <w:spacing w:before="120" w:after="120"/>
              <w:ind w:left="-57"/>
              <w:jc w:val="center"/>
              <w:rPr>
                <w:rFonts w:ascii="Söhne" w:eastAsia="Calibri" w:hAnsi="Söhne" w:cs="Arial"/>
                <w:sz w:val="16"/>
                <w:szCs w:val="16"/>
              </w:rPr>
            </w:pPr>
          </w:p>
        </w:tc>
        <w:tc>
          <w:tcPr>
            <w:tcW w:w="1231" w:type="dxa"/>
            <w:tcMar>
              <w:top w:w="0" w:type="dxa"/>
              <w:left w:w="108" w:type="dxa"/>
              <w:bottom w:w="0" w:type="dxa"/>
              <w:right w:w="108" w:type="dxa"/>
            </w:tcMar>
            <w:vAlign w:val="center"/>
          </w:tcPr>
          <w:p w14:paraId="681C9E54" w14:textId="77777777" w:rsidR="00983C95" w:rsidRPr="00983C95" w:rsidRDefault="00983C95" w:rsidP="00983C95">
            <w:pPr>
              <w:spacing w:before="120" w:after="120"/>
              <w:ind w:left="-57"/>
              <w:jc w:val="center"/>
              <w:rPr>
                <w:rFonts w:ascii="Söhne" w:eastAsia="Calibri" w:hAnsi="Söhne" w:cs="Arial"/>
                <w:sz w:val="16"/>
                <w:szCs w:val="16"/>
              </w:rPr>
            </w:pPr>
          </w:p>
        </w:tc>
        <w:tc>
          <w:tcPr>
            <w:tcW w:w="962" w:type="dxa"/>
            <w:tcMar>
              <w:top w:w="0" w:type="dxa"/>
              <w:left w:w="108" w:type="dxa"/>
              <w:bottom w:w="0" w:type="dxa"/>
              <w:right w:w="108" w:type="dxa"/>
            </w:tcMar>
            <w:vAlign w:val="center"/>
          </w:tcPr>
          <w:p w14:paraId="2CF2DCA6" w14:textId="77777777" w:rsidR="00983C95" w:rsidRPr="00983C95" w:rsidRDefault="00983C95" w:rsidP="00983C95">
            <w:pPr>
              <w:spacing w:before="120" w:after="120"/>
              <w:ind w:left="-57"/>
              <w:jc w:val="center"/>
              <w:rPr>
                <w:rFonts w:ascii="Söhne" w:eastAsia="Calibri" w:hAnsi="Söhne" w:cs="Arial"/>
                <w:sz w:val="16"/>
                <w:szCs w:val="16"/>
              </w:rPr>
            </w:pPr>
          </w:p>
        </w:tc>
      </w:tr>
    </w:tbl>
    <w:p w14:paraId="4CBFC823" w14:textId="77777777" w:rsidR="00983C95" w:rsidRPr="00983C95" w:rsidRDefault="00983C95" w:rsidP="00983C95">
      <w:pPr>
        <w:widowControl w:val="0"/>
        <w:autoSpaceDE w:val="0"/>
        <w:autoSpaceDN w:val="0"/>
        <w:spacing w:before="120" w:after="360" w:line="240" w:lineRule="auto"/>
        <w:jc w:val="center"/>
        <w:rPr>
          <w:rFonts w:ascii="Söhne" w:eastAsia="Arial" w:hAnsi="Söhne" w:cs="Arial"/>
          <w:sz w:val="16"/>
          <w:szCs w:val="16"/>
          <w:lang w:val="en-US"/>
        </w:rPr>
      </w:pPr>
      <w:r w:rsidRPr="00983C95">
        <w:rPr>
          <w:rFonts w:ascii="Söhne" w:eastAsia="Arial" w:hAnsi="Söhne" w:cs="Arial"/>
          <w:sz w:val="16"/>
          <w:szCs w:val="16"/>
          <w:lang w:val="en-US"/>
        </w:rPr>
        <w:t xml:space="preserve">DSe = diagnostic sensitivity, DSp = diagnostic specificity, </w:t>
      </w:r>
      <w:r w:rsidRPr="00983C95">
        <w:rPr>
          <w:rFonts w:ascii="Söhne" w:eastAsia="Arial" w:hAnsi="Söhne" w:cs="Arial"/>
          <w:i/>
          <w:iCs/>
          <w:sz w:val="16"/>
          <w:szCs w:val="16"/>
          <w:lang w:val="en-US"/>
        </w:rPr>
        <w:t>n</w:t>
      </w:r>
      <w:r w:rsidRPr="00983C95">
        <w:rPr>
          <w:rFonts w:ascii="Söhne" w:eastAsia="Arial" w:hAnsi="Söhne" w:cs="Arial"/>
          <w:sz w:val="16"/>
          <w:szCs w:val="16"/>
          <w:lang w:val="en-US"/>
        </w:rPr>
        <w:t xml:space="preserve"> = number of samples used in the study,</w:t>
      </w:r>
      <w:r w:rsidRPr="00983C95">
        <w:rPr>
          <w:rFonts w:ascii="Söhne" w:eastAsia="Arial" w:hAnsi="Söhne" w:cs="Arial"/>
          <w:sz w:val="16"/>
          <w:szCs w:val="16"/>
          <w:lang w:val="en-US"/>
        </w:rPr>
        <w:br/>
        <w:t>PCR: = polymerase chain reaction.</w:t>
      </w:r>
    </w:p>
    <w:p w14:paraId="746DD47B" w14:textId="77777777" w:rsidR="00983C95" w:rsidRPr="00983C95" w:rsidRDefault="00983C95" w:rsidP="00983C95">
      <w:pPr>
        <w:widowControl w:val="0"/>
        <w:spacing w:after="240" w:line="240" w:lineRule="auto"/>
        <w:ind w:left="284" w:right="-6" w:hanging="284"/>
        <w:jc w:val="both"/>
        <w:rPr>
          <w:rFonts w:ascii="Söhne Kräftig" w:eastAsia="Arial" w:hAnsi="Söhne Kräftig" w:cs="Arial"/>
          <w:szCs w:val="18"/>
          <w:lang w:val="en-US" w:eastAsia="fr-FR" w:bidi="en-US"/>
        </w:rPr>
      </w:pPr>
      <w:r w:rsidRPr="00983C95">
        <w:rPr>
          <w:rFonts w:ascii="Söhne Kräftig" w:eastAsia="Arial" w:hAnsi="Söhne Kräftig" w:cs="Arial"/>
          <w:szCs w:val="18"/>
          <w:lang w:val="en-US" w:eastAsia="fr-FR" w:bidi="en-US"/>
        </w:rPr>
        <w:t>7.</w:t>
      </w:r>
      <w:r w:rsidRPr="00983C95">
        <w:rPr>
          <w:rFonts w:ascii="Söhne Kräftig" w:eastAsia="Arial" w:hAnsi="Söhne Kräftig" w:cs="Arial"/>
          <w:szCs w:val="18"/>
          <w:lang w:val="en-US" w:eastAsia="fr-FR" w:bidi="en-US"/>
        </w:rPr>
        <w:tab/>
        <w:t>References</w:t>
      </w:r>
    </w:p>
    <w:p w14:paraId="347D76DC" w14:textId="77777777" w:rsidR="00983C95" w:rsidRPr="00983C95" w:rsidRDefault="00983C95" w:rsidP="00983C95">
      <w:pPr>
        <w:spacing w:after="240" w:line="240" w:lineRule="auto"/>
        <w:jc w:val="both"/>
        <w:rPr>
          <w:rFonts w:ascii="Söhne" w:eastAsia="SimSun" w:hAnsi="Söhne" w:cs="Times New Roman"/>
          <w:sz w:val="18"/>
          <w:lang w:val="en-IE" w:bidi="en-US"/>
        </w:rPr>
      </w:pPr>
      <w:r w:rsidRPr="00983C95">
        <w:rPr>
          <w:rFonts w:ascii="Söhne" w:eastAsia="Times New Roman" w:hAnsi="Söhne" w:cs="Times New Roman"/>
          <w:smallCaps/>
          <w:sz w:val="18"/>
          <w:lang w:val="en-IE" w:bidi="en-US"/>
        </w:rPr>
        <w:t>Aly S.M., Mansour S.M., Thabet R.Y. &amp; Mabrok M</w:t>
      </w:r>
      <w:r w:rsidRPr="00983C95">
        <w:rPr>
          <w:rFonts w:ascii="Söhne" w:eastAsia="Times New Roman" w:hAnsi="Söhne" w:cs="Times New Roman"/>
          <w:sz w:val="18"/>
          <w:lang w:val="en-IE" w:bidi="en-US"/>
        </w:rPr>
        <w:t xml:space="preserve">. (2021). Studies on infectious myonecrosis virus (IMNV) and infectious hypodermal and hematopoietic necrosis virus (IHHNV) in cultured penaeid shrimp in Egypt. </w:t>
      </w:r>
      <w:r w:rsidRPr="00983C95">
        <w:rPr>
          <w:rFonts w:ascii="Söhne" w:eastAsia="SimSun" w:hAnsi="Söhne" w:cs="Times New Roman"/>
          <w:i/>
          <w:sz w:val="18"/>
          <w:lang w:val="en-IE" w:bidi="en-US"/>
        </w:rPr>
        <w:t>Dis. Aquat. Org</w:t>
      </w:r>
      <w:r w:rsidRPr="00983C95">
        <w:rPr>
          <w:rFonts w:ascii="Söhne" w:eastAsia="SimSun" w:hAnsi="Söhne" w:cs="Times New Roman"/>
          <w:sz w:val="18"/>
          <w:lang w:val="en-IE" w:bidi="en-US"/>
        </w:rPr>
        <w:t xml:space="preserve">., </w:t>
      </w:r>
      <w:r w:rsidRPr="00983C95">
        <w:rPr>
          <w:rFonts w:ascii="Söhne" w:eastAsia="SimSun" w:hAnsi="Söhne" w:cs="Times New Roman"/>
          <w:b/>
          <w:sz w:val="18"/>
          <w:lang w:val="en-IE" w:bidi="en-US"/>
        </w:rPr>
        <w:t>143</w:t>
      </w:r>
      <w:r w:rsidRPr="00983C95">
        <w:rPr>
          <w:rFonts w:ascii="Söhne" w:eastAsia="SimSun" w:hAnsi="Söhne" w:cs="Times New Roman"/>
          <w:sz w:val="18"/>
          <w:lang w:val="en-IE" w:bidi="en-US"/>
        </w:rPr>
        <w:t>, 57–67.</w:t>
      </w:r>
    </w:p>
    <w:p w14:paraId="4C459948" w14:textId="77777777" w:rsidR="00983C95" w:rsidRPr="00983C95" w:rsidRDefault="00983C95" w:rsidP="00983C95">
      <w:pPr>
        <w:spacing w:after="240" w:line="240" w:lineRule="auto"/>
        <w:jc w:val="both"/>
        <w:rPr>
          <w:rFonts w:ascii="Söhne" w:eastAsia="Times New Roman" w:hAnsi="Söhne" w:cs="Times New Roman"/>
          <w:sz w:val="18"/>
          <w:u w:val="double"/>
          <w:lang w:val="en-IE" w:bidi="en-US"/>
        </w:rPr>
      </w:pPr>
      <w:r w:rsidRPr="00983C95">
        <w:rPr>
          <w:rFonts w:ascii="Söhne" w:eastAsia="Yu Gothic Light" w:hAnsi="Söhne" w:cs="Times New Roman"/>
          <w:smallCaps/>
          <w:sz w:val="18"/>
          <w:u w:val="double"/>
          <w:lang w:val="en-IE" w:bidi="en-US"/>
        </w:rPr>
        <w:lastRenderedPageBreak/>
        <w:t>Aranguren Caro</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L</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F</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Gomez-Sanchez</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M</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M</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Piedrahita</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Y</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Mai</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H</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N</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Cruz-Flores</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R</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Alenton</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R</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R</w:t>
      </w:r>
      <w:r w:rsidRPr="00983C95">
        <w:rPr>
          <w:rFonts w:ascii="Söhne" w:eastAsia="Times New Roman" w:hAnsi="Söhne" w:cs="Times New Roman"/>
          <w:smallCaps/>
          <w:sz w:val="18"/>
          <w:u w:val="double"/>
          <w:lang w:val="en-IE" w:bidi="en-US"/>
        </w:rPr>
        <w:t>.</w:t>
      </w:r>
      <w:r w:rsidRPr="00983C95">
        <w:rPr>
          <w:rFonts w:ascii="Söhne" w:eastAsia="Yu Gothic Light" w:hAnsi="Söhne" w:cs="Times New Roman"/>
          <w:smallCaps/>
          <w:sz w:val="18"/>
          <w:u w:val="double"/>
          <w:lang w:val="en-IE" w:bidi="en-US"/>
        </w:rPr>
        <w:t>R</w:t>
      </w:r>
      <w:r w:rsidRPr="00983C95">
        <w:rPr>
          <w:rFonts w:ascii="Söhne" w:eastAsia="Times New Roman" w:hAnsi="Söhne" w:cs="Times New Roman"/>
          <w:smallCaps/>
          <w:sz w:val="18"/>
          <w:u w:val="double"/>
          <w:lang w:val="en-IE" w:bidi="en-US"/>
        </w:rPr>
        <w:t xml:space="preserve">.&amp; </w:t>
      </w:r>
      <w:r w:rsidRPr="00983C95">
        <w:rPr>
          <w:rFonts w:ascii="Söhne" w:eastAsia="Yu Gothic Light" w:hAnsi="Söhne" w:cs="Times New Roman"/>
          <w:smallCaps/>
          <w:sz w:val="18"/>
          <w:u w:val="double"/>
          <w:lang w:val="en-IE" w:bidi="en-US"/>
        </w:rPr>
        <w:t>Dhar</w:t>
      </w:r>
      <w:r w:rsidRPr="00983C95">
        <w:rPr>
          <w:rFonts w:ascii="Söhne" w:eastAsia="Times New Roman" w:hAnsi="Söhne" w:cs="Times New Roman"/>
          <w:smallCaps/>
          <w:sz w:val="18"/>
          <w:u w:val="double"/>
          <w:lang w:val="en-IE" w:bidi="en-US"/>
        </w:rPr>
        <w:t xml:space="preserve"> </w:t>
      </w:r>
      <w:r w:rsidRPr="00983C95">
        <w:rPr>
          <w:rFonts w:ascii="Söhne" w:eastAsia="Yu Gothic Light" w:hAnsi="Söhne" w:cs="Times New Roman"/>
          <w:smallCaps/>
          <w:sz w:val="18"/>
          <w:u w:val="double"/>
          <w:lang w:val="en-IE" w:bidi="en-US"/>
        </w:rPr>
        <w:t>A</w:t>
      </w:r>
      <w:r w:rsidRPr="00983C95">
        <w:rPr>
          <w:rFonts w:ascii="Söhne" w:eastAsia="Times New Roman" w:hAnsi="Söhne" w:cs="Times New Roman"/>
          <w:smallCaps/>
          <w:sz w:val="18"/>
          <w:u w:val="double"/>
          <w:lang w:val="en-IE" w:bidi="en-US"/>
        </w:rPr>
        <w:t>.K</w:t>
      </w:r>
      <w:r w:rsidRPr="00983C95">
        <w:rPr>
          <w:rFonts w:ascii="Söhne" w:eastAsia="Times New Roman" w:hAnsi="Söhne" w:cs="Times New Roman"/>
          <w:sz w:val="18"/>
          <w:u w:val="double"/>
          <w:lang w:val="en-IE" w:bidi="en-US"/>
        </w:rPr>
        <w:t xml:space="preserve">. (2022). Current status of infection with infectious hypodermal and hematopoietic necrosis virus (IHHNV) in the Peruvian and Ecuadorian shrimp industry. </w:t>
      </w:r>
      <w:r w:rsidRPr="00983C95">
        <w:rPr>
          <w:rFonts w:ascii="Söhne" w:eastAsia="Times New Roman" w:hAnsi="Söhne" w:cs="Times New Roman"/>
          <w:i/>
          <w:iCs/>
          <w:sz w:val="18"/>
          <w:u w:val="double"/>
          <w:lang w:val="en-IE" w:bidi="en-US"/>
        </w:rPr>
        <w:t>PLoS One</w:t>
      </w:r>
      <w:r w:rsidRPr="00983C95">
        <w:rPr>
          <w:rFonts w:ascii="Söhne" w:eastAsia="Times New Roman" w:hAnsi="Söhne" w:cs="Times New Roman"/>
          <w:sz w:val="18"/>
          <w:u w:val="double"/>
          <w:lang w:val="en-IE" w:bidi="en-US"/>
        </w:rPr>
        <w:t xml:space="preserve">, </w:t>
      </w:r>
      <w:r w:rsidRPr="00983C95">
        <w:rPr>
          <w:rFonts w:ascii="Söhne" w:eastAsia="Yu Gothic Light" w:hAnsi="Söhne" w:cs="Times New Roman"/>
          <w:sz w:val="18"/>
          <w:u w:val="double"/>
          <w:lang w:val="en-IE" w:bidi="en-US"/>
        </w:rPr>
        <w:t>17(8):e0272456</w:t>
      </w:r>
      <w:r w:rsidRPr="00983C95">
        <w:rPr>
          <w:rFonts w:ascii="Söhne" w:eastAsia="Times New Roman" w:hAnsi="Söhne" w:cs="Times New Roman"/>
          <w:sz w:val="18"/>
          <w:u w:val="double"/>
          <w:lang w:val="en-IE" w:bidi="en-US"/>
        </w:rPr>
        <w:t xml:space="preserve">. </w:t>
      </w:r>
      <w:r w:rsidRPr="00983C95">
        <w:rPr>
          <w:rFonts w:ascii="Söhne" w:eastAsia="Yu Gothic Light" w:hAnsi="Söhne" w:cs="Times New Roman"/>
          <w:sz w:val="18"/>
          <w:u w:val="double"/>
          <w:lang w:val="en-IE" w:bidi="en-US"/>
        </w:rPr>
        <w:t>doi: 10.1371/journal.pone.0272456.</w:t>
      </w:r>
    </w:p>
    <w:p w14:paraId="25164450" w14:textId="77777777" w:rsidR="00983C95" w:rsidRPr="00983C95" w:rsidRDefault="00983C95" w:rsidP="00983C95">
      <w:pPr>
        <w:spacing w:after="240" w:line="240" w:lineRule="auto"/>
        <w:jc w:val="both"/>
        <w:rPr>
          <w:rFonts w:ascii="Söhne" w:eastAsia="SimSun" w:hAnsi="Söhne" w:cs="Times New Roman"/>
          <w:sz w:val="18"/>
          <w:lang w:val="en-IE" w:bidi="en-US"/>
        </w:rPr>
      </w:pPr>
      <w:r w:rsidRPr="00983C95">
        <w:rPr>
          <w:rFonts w:ascii="Söhne" w:eastAsia="SimSun" w:hAnsi="Söhne" w:cs="Times New Roman"/>
          <w:smallCaps/>
          <w:sz w:val="18"/>
          <w:lang w:val="en-GB" w:bidi="en-US"/>
        </w:rPr>
        <w:t xml:space="preserve">Arunrut N., Prombun P., Saksmerprome V., Flegel T. W. &amp; </w:t>
      </w:r>
      <w:r w:rsidRPr="00983C95">
        <w:rPr>
          <w:rFonts w:ascii="Söhne" w:eastAsia="SimSun" w:hAnsi="Söhne" w:cs="Times New Roman"/>
          <w:smallCaps/>
          <w:sz w:val="18"/>
          <w:lang w:val="en-IE" w:bidi="en-US"/>
        </w:rPr>
        <w:t>Kiatpathomchai W.</w:t>
      </w:r>
      <w:r w:rsidRPr="00983C95">
        <w:rPr>
          <w:rFonts w:ascii="Söhne" w:eastAsia="SimSun" w:hAnsi="Söhne" w:cs="Times New Roman"/>
          <w:sz w:val="18"/>
          <w:lang w:val="en-IE" w:bidi="en-US"/>
        </w:rPr>
        <w:t xml:space="preserve"> (2011). Rapid and sensitive detection of infectious hypodermal and hematopoietic necrosis virus by loop-mediated isothermal amplification combined with a lateral flow dipstick. </w:t>
      </w:r>
      <w:r w:rsidRPr="00983C95">
        <w:rPr>
          <w:rFonts w:ascii="Söhne" w:eastAsia="SimSun" w:hAnsi="Söhne" w:cs="Times New Roman"/>
          <w:i/>
          <w:sz w:val="18"/>
          <w:lang w:val="en-IE" w:bidi="en-US"/>
        </w:rPr>
        <w:t>J. Virol. Methods,</w:t>
      </w:r>
      <w:r w:rsidRPr="00983C95">
        <w:rPr>
          <w:rFonts w:ascii="Söhne" w:eastAsia="SimSun" w:hAnsi="Söhne" w:cs="Times New Roman"/>
          <w:sz w:val="18"/>
          <w:lang w:val="en-IE" w:bidi="en-US"/>
        </w:rPr>
        <w:t xml:space="preserve"> </w:t>
      </w:r>
      <w:r w:rsidRPr="00983C95">
        <w:rPr>
          <w:rFonts w:ascii="Söhne" w:eastAsia="SimSun" w:hAnsi="Söhne" w:cs="Times New Roman"/>
          <w:b/>
          <w:sz w:val="18"/>
          <w:lang w:val="en-IE" w:bidi="en-US"/>
        </w:rPr>
        <w:t>171</w:t>
      </w:r>
      <w:r w:rsidRPr="00983C95">
        <w:rPr>
          <w:rFonts w:ascii="Söhne" w:eastAsia="SimSun" w:hAnsi="Söhne" w:cs="Times New Roman"/>
          <w:sz w:val="18"/>
          <w:lang w:val="en-IE" w:bidi="en-US"/>
        </w:rPr>
        <w:t>, 21–25.</w:t>
      </w:r>
    </w:p>
    <w:p w14:paraId="62476CC7"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Bell T.A. &amp; Lightner D.V.</w:t>
      </w:r>
      <w:r w:rsidRPr="00983C95">
        <w:rPr>
          <w:rFonts w:ascii="Söhne" w:eastAsia="Times New Roman" w:hAnsi="Söhne" w:cs="Times New Roman"/>
          <w:sz w:val="18"/>
          <w:lang w:val="en-IE" w:bidi="en-US"/>
        </w:rPr>
        <w:t xml:space="preserve"> (1984). IHHN virus: infectivity and pathogenicity studies in </w:t>
      </w:r>
      <w:r w:rsidRPr="00983C95">
        <w:rPr>
          <w:rFonts w:ascii="Söhne" w:eastAsia="Times New Roman" w:hAnsi="Söhne" w:cs="Times New Roman"/>
          <w:i/>
          <w:iCs/>
          <w:sz w:val="18"/>
          <w:lang w:val="en-IE" w:bidi="en-US"/>
        </w:rPr>
        <w:t>Penaeus stylirostris</w:t>
      </w:r>
      <w:r w:rsidRPr="00983C95">
        <w:rPr>
          <w:rFonts w:ascii="Söhne" w:eastAsia="Times New Roman" w:hAnsi="Söhne" w:cs="Times New Roman"/>
          <w:sz w:val="18"/>
          <w:lang w:val="en-IE" w:bidi="en-US"/>
        </w:rPr>
        <w:t xml:space="preserve"> and </w:t>
      </w:r>
      <w:r w:rsidRPr="00983C95">
        <w:rPr>
          <w:rFonts w:ascii="Söhne" w:eastAsia="Times New Roman" w:hAnsi="Söhne" w:cs="Times New Roman"/>
          <w:i/>
          <w:iCs/>
          <w:sz w:val="18"/>
          <w:lang w:val="en-IE" w:bidi="en-US"/>
        </w:rPr>
        <w:t>Penaeus vannamei</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i/>
          <w:iCs/>
          <w:sz w:val="18"/>
          <w:lang w:val="en-IE" w:bidi="en-US"/>
        </w:rPr>
        <w:t>Aquaculture</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38</w:t>
      </w:r>
      <w:r w:rsidRPr="00983C95">
        <w:rPr>
          <w:rFonts w:ascii="Söhne" w:eastAsia="Times New Roman" w:hAnsi="Söhne" w:cs="Times New Roman"/>
          <w:sz w:val="18"/>
          <w:lang w:val="en-IE" w:bidi="en-US"/>
        </w:rPr>
        <w:t>, 185–194.</w:t>
      </w:r>
    </w:p>
    <w:p w14:paraId="69250594"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Bell T.A. &amp; Lightner D.V.</w:t>
      </w:r>
      <w:r w:rsidRPr="00983C95">
        <w:rPr>
          <w:rFonts w:ascii="Söhne" w:eastAsia="Times New Roman" w:hAnsi="Söhne" w:cs="Times New Roman"/>
          <w:sz w:val="18"/>
          <w:lang w:val="en-IE" w:bidi="en-US"/>
        </w:rPr>
        <w:t xml:space="preserve"> (1987). IHHN disease of </w:t>
      </w:r>
      <w:r w:rsidRPr="00983C95">
        <w:rPr>
          <w:rFonts w:ascii="Söhne" w:eastAsia="Times New Roman" w:hAnsi="Söhne" w:cs="Times New Roman"/>
          <w:i/>
          <w:iCs/>
          <w:sz w:val="18"/>
          <w:lang w:val="en-IE" w:bidi="en-US"/>
        </w:rPr>
        <w:t>Penaeus stylirostris</w:t>
      </w:r>
      <w:r w:rsidRPr="00983C95">
        <w:rPr>
          <w:rFonts w:ascii="Söhne" w:eastAsia="Times New Roman" w:hAnsi="Söhne" w:cs="Times New Roman"/>
          <w:sz w:val="18"/>
          <w:lang w:val="en-IE" w:bidi="en-US"/>
        </w:rPr>
        <w:t xml:space="preserve">: effects of shrimp size on disease expression. </w:t>
      </w:r>
      <w:r w:rsidRPr="00983C95">
        <w:rPr>
          <w:rFonts w:ascii="Söhne" w:eastAsia="Times New Roman" w:hAnsi="Söhne" w:cs="Times New Roman"/>
          <w:i/>
          <w:iCs/>
          <w:sz w:val="18"/>
          <w:lang w:val="en-IE" w:bidi="en-US"/>
        </w:rPr>
        <w:t>J. Fish Dis</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10</w:t>
      </w:r>
      <w:r w:rsidRPr="00983C95">
        <w:rPr>
          <w:rFonts w:ascii="Söhne" w:eastAsia="Times New Roman" w:hAnsi="Söhne" w:cs="Times New Roman"/>
          <w:sz w:val="18"/>
          <w:lang w:val="en-IE" w:bidi="en-US"/>
        </w:rPr>
        <w:t>, 165–170.</w:t>
      </w:r>
    </w:p>
    <w:p w14:paraId="4C53DF33"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Bell T.A. &amp; Lightner D.V</w:t>
      </w:r>
      <w:r w:rsidRPr="00983C95">
        <w:rPr>
          <w:rFonts w:ascii="Söhne" w:eastAsia="Times New Roman" w:hAnsi="Söhne" w:cs="Times New Roman"/>
          <w:sz w:val="18"/>
          <w:lang w:val="en-IE" w:bidi="en-US"/>
        </w:rPr>
        <w:t>. (1988). A Handbook of Normal Shrimp Histology. Special Publication No. 1, World Aquaculture Society, Baton Rouge, Louisiana, USA, 114 pp.</w:t>
      </w:r>
    </w:p>
    <w:p w14:paraId="48A67899"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Bonami J.R., Trumper B., Mari J., Brehelin M. &amp; Lightner D.V.</w:t>
      </w:r>
      <w:r w:rsidRPr="00983C95">
        <w:rPr>
          <w:rFonts w:ascii="Söhne" w:eastAsia="Times New Roman" w:hAnsi="Söhne" w:cs="Times New Roman"/>
          <w:sz w:val="18"/>
          <w:lang w:val="en-IE" w:bidi="en-US"/>
        </w:rPr>
        <w:t xml:space="preserve"> (1990). Purification and characterization of IHHN virus of penaeid shrimps. </w:t>
      </w:r>
      <w:r w:rsidRPr="00983C95">
        <w:rPr>
          <w:rFonts w:ascii="Söhne" w:eastAsia="Times New Roman" w:hAnsi="Söhne" w:cs="Times New Roman"/>
          <w:i/>
          <w:sz w:val="18"/>
          <w:lang w:val="en-IE" w:bidi="en-US"/>
        </w:rPr>
        <w:t>J.</w:t>
      </w:r>
      <w:r w:rsidRPr="00983C95">
        <w:rPr>
          <w:rFonts w:ascii="Söhne" w:eastAsia="Times New Roman" w:hAnsi="Söhne" w:cs="Times New Roman"/>
          <w:i/>
          <w:iCs/>
          <w:sz w:val="18"/>
          <w:lang w:val="en-IE" w:bidi="en-US"/>
        </w:rPr>
        <w:t xml:space="preserve"> Gen. Virol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71</w:t>
      </w:r>
      <w:r w:rsidRPr="00983C95">
        <w:rPr>
          <w:rFonts w:ascii="Söhne" w:eastAsia="Times New Roman" w:hAnsi="Söhne" w:cs="Times New Roman"/>
          <w:sz w:val="18"/>
          <w:lang w:val="en-IE" w:bidi="en-US"/>
        </w:rPr>
        <w:t>, 2657–2664.</w:t>
      </w:r>
    </w:p>
    <w:p w14:paraId="356D73F4" w14:textId="77777777" w:rsidR="00983C95" w:rsidRPr="00983C95" w:rsidRDefault="00983C95" w:rsidP="00983C95">
      <w:pPr>
        <w:spacing w:after="240" w:line="240" w:lineRule="auto"/>
        <w:jc w:val="both"/>
        <w:rPr>
          <w:rFonts w:ascii="Söhne" w:eastAsia="SimSun" w:hAnsi="Söhne" w:cs="Times New Roman"/>
          <w:sz w:val="18"/>
          <w:highlight w:val="yellow"/>
          <w:lang w:val="en-IE" w:bidi="en-US"/>
        </w:rPr>
      </w:pPr>
      <w:r w:rsidRPr="00983C95">
        <w:rPr>
          <w:rFonts w:ascii="Söhne" w:eastAsia="SimSun" w:hAnsi="Söhne" w:cs="Arial"/>
          <w:smallCaps/>
          <w:sz w:val="18"/>
          <w:szCs w:val="18"/>
          <w:lang w:val="en-IE" w:bidi="en-US"/>
        </w:rPr>
        <w:t>Chayaburakul</w:t>
      </w:r>
      <w:r w:rsidRPr="00983C95">
        <w:rPr>
          <w:rFonts w:ascii="Söhne" w:eastAsia="SimSun" w:hAnsi="Söhne" w:cs="Arial"/>
          <w:smallCaps/>
          <w:sz w:val="18"/>
          <w:szCs w:val="18"/>
          <w:vertAlign w:val="superscript"/>
          <w:lang w:val="en-IE" w:bidi="en-US"/>
        </w:rPr>
        <w:t xml:space="preserve"> </w:t>
      </w:r>
      <w:r w:rsidRPr="00983C95">
        <w:rPr>
          <w:rFonts w:ascii="Söhne" w:eastAsia="SimSun" w:hAnsi="Söhne" w:cs="Arial"/>
          <w:smallCaps/>
          <w:sz w:val="18"/>
          <w:szCs w:val="18"/>
          <w:lang w:val="en-IE" w:bidi="en-US"/>
        </w:rPr>
        <w:t xml:space="preserve">K., </w:t>
      </w:r>
      <w:r w:rsidRPr="00983C95">
        <w:rPr>
          <w:rFonts w:ascii="Söhne" w:eastAsia="Times New Roman" w:hAnsi="Söhne" w:cs="Arial"/>
          <w:smallCaps/>
          <w:sz w:val="18"/>
          <w:szCs w:val="18"/>
          <w:lang w:val="en-IE" w:bidi="en-US"/>
        </w:rPr>
        <w:t xml:space="preserve">Lightner </w:t>
      </w:r>
      <w:r w:rsidRPr="00983C95">
        <w:rPr>
          <w:rFonts w:ascii="Söhne" w:eastAsia="SimSun" w:hAnsi="Söhne" w:cs="Arial"/>
          <w:smallCaps/>
          <w:sz w:val="18"/>
          <w:szCs w:val="18"/>
          <w:lang w:val="en-IE" w:bidi="en-US"/>
        </w:rPr>
        <w:t xml:space="preserve">D.V., </w:t>
      </w:r>
      <w:r w:rsidRPr="00983C95">
        <w:rPr>
          <w:rFonts w:ascii="Söhne" w:eastAsia="Times New Roman" w:hAnsi="Söhne" w:cs="Arial"/>
          <w:smallCaps/>
          <w:sz w:val="18"/>
          <w:szCs w:val="18"/>
          <w:lang w:val="en-IE" w:bidi="en-US"/>
        </w:rPr>
        <w:t xml:space="preserve">Sriurairattana </w:t>
      </w:r>
      <w:r w:rsidRPr="00983C95">
        <w:rPr>
          <w:rFonts w:ascii="Söhne" w:eastAsia="SimSun" w:hAnsi="Söhne" w:cs="Arial"/>
          <w:smallCaps/>
          <w:sz w:val="18"/>
          <w:szCs w:val="18"/>
          <w:lang w:val="en-IE" w:bidi="en-US"/>
        </w:rPr>
        <w:t>S., Nelson K.</w:t>
      </w:r>
      <w:r w:rsidRPr="00983C95">
        <w:rPr>
          <w:rFonts w:ascii="Söhne" w:eastAsia="Times New Roman" w:hAnsi="Söhne" w:cs="Arial"/>
          <w:smallCaps/>
          <w:sz w:val="18"/>
          <w:szCs w:val="18"/>
          <w:lang w:val="en-IE" w:bidi="en-US"/>
        </w:rPr>
        <w:t xml:space="preserve">T. </w:t>
      </w:r>
      <w:r w:rsidRPr="00983C95">
        <w:rPr>
          <w:rFonts w:ascii="Söhne" w:eastAsia="SimSun" w:hAnsi="Söhne" w:cs="Arial"/>
          <w:smallCaps/>
          <w:sz w:val="18"/>
          <w:szCs w:val="18"/>
          <w:lang w:val="en-IE" w:bidi="en-US"/>
        </w:rPr>
        <w:t xml:space="preserve">&amp; </w:t>
      </w:r>
      <w:r w:rsidRPr="00983C95">
        <w:rPr>
          <w:rFonts w:ascii="Söhne" w:eastAsia="Times New Roman" w:hAnsi="Söhne" w:cs="Arial"/>
          <w:smallCaps/>
          <w:sz w:val="18"/>
          <w:szCs w:val="18"/>
          <w:lang w:val="en-IE" w:bidi="en-US"/>
        </w:rPr>
        <w:t xml:space="preserve">Withyachumnarnkul </w:t>
      </w:r>
      <w:r w:rsidRPr="00983C95">
        <w:rPr>
          <w:rFonts w:ascii="Söhne" w:eastAsia="SimSun" w:hAnsi="Söhne" w:cs="Arial"/>
          <w:smallCaps/>
          <w:sz w:val="18"/>
          <w:szCs w:val="18"/>
          <w:lang w:val="en-IE" w:bidi="en-US"/>
        </w:rPr>
        <w:t xml:space="preserve">B. (2005). </w:t>
      </w:r>
      <w:r w:rsidRPr="00983C95">
        <w:rPr>
          <w:rFonts w:ascii="Söhne" w:eastAsia="SimSun" w:hAnsi="Söhne" w:cs="Arial"/>
          <w:bCs/>
          <w:kern w:val="36"/>
          <w:sz w:val="18"/>
          <w:szCs w:val="18"/>
          <w:lang w:val="en-IE" w:bidi="en-US"/>
        </w:rPr>
        <w:t xml:space="preserve">Different responses to infectious hypodermal and hematopoietic necrosis virus (IHHNV) in </w:t>
      </w:r>
      <w:r w:rsidRPr="00983C95">
        <w:rPr>
          <w:rFonts w:ascii="Söhne" w:eastAsia="SimSun" w:hAnsi="Söhne" w:cs="Arial"/>
          <w:bCs/>
          <w:i/>
          <w:kern w:val="36"/>
          <w:sz w:val="18"/>
          <w:szCs w:val="18"/>
          <w:lang w:val="en-IE" w:bidi="en-US"/>
        </w:rPr>
        <w:t xml:space="preserve">Penaeus monodon </w:t>
      </w:r>
      <w:r w:rsidRPr="00983C95">
        <w:rPr>
          <w:rFonts w:ascii="Söhne" w:eastAsia="SimSun" w:hAnsi="Söhne" w:cs="Arial"/>
          <w:bCs/>
          <w:kern w:val="36"/>
          <w:sz w:val="18"/>
          <w:szCs w:val="18"/>
          <w:lang w:val="en-IE" w:bidi="en-US"/>
        </w:rPr>
        <w:t xml:space="preserve">and </w:t>
      </w:r>
      <w:r w:rsidRPr="00983C95">
        <w:rPr>
          <w:rFonts w:ascii="Söhne" w:eastAsia="SimSun" w:hAnsi="Söhne" w:cs="Arial"/>
          <w:bCs/>
          <w:i/>
          <w:kern w:val="36"/>
          <w:sz w:val="18"/>
          <w:szCs w:val="18"/>
          <w:lang w:val="en-IE" w:bidi="en-US"/>
        </w:rPr>
        <w:t>P. vannamei</w:t>
      </w:r>
      <w:r w:rsidRPr="00983C95">
        <w:rPr>
          <w:rFonts w:ascii="Söhne" w:eastAsia="SimSun" w:hAnsi="Söhne" w:cs="Arial"/>
          <w:bCs/>
          <w:kern w:val="36"/>
          <w:sz w:val="18"/>
          <w:szCs w:val="18"/>
          <w:lang w:val="en-IE" w:bidi="en-US"/>
        </w:rPr>
        <w:t>.</w:t>
      </w:r>
      <w:r w:rsidRPr="00983C95">
        <w:rPr>
          <w:rFonts w:ascii="Söhne" w:eastAsia="SimSun" w:hAnsi="Söhne" w:cs="Arial"/>
          <w:sz w:val="18"/>
          <w:szCs w:val="18"/>
          <w:lang w:val="en-IE" w:bidi="en-US"/>
        </w:rPr>
        <w:t xml:space="preserve"> </w:t>
      </w:r>
      <w:r w:rsidRPr="00983C95">
        <w:rPr>
          <w:rFonts w:ascii="Söhne" w:eastAsia="SimSun" w:hAnsi="Söhne" w:cs="Arial"/>
          <w:i/>
          <w:sz w:val="18"/>
          <w:szCs w:val="18"/>
          <w:lang w:val="en-IE" w:bidi="en-US"/>
        </w:rPr>
        <w:t>Dis. Aquat. Org.</w:t>
      </w:r>
      <w:r w:rsidRPr="00983C95">
        <w:rPr>
          <w:rFonts w:ascii="Söhne" w:eastAsia="SimSun" w:hAnsi="Söhne" w:cs="Arial"/>
          <w:sz w:val="18"/>
          <w:szCs w:val="18"/>
          <w:lang w:val="en-IE" w:bidi="en-US"/>
        </w:rPr>
        <w:t xml:space="preserve">, </w:t>
      </w:r>
      <w:r w:rsidRPr="00983C95">
        <w:rPr>
          <w:rFonts w:ascii="Söhne" w:eastAsia="SimSun" w:hAnsi="Söhne" w:cs="Arial"/>
          <w:b/>
          <w:sz w:val="18"/>
          <w:szCs w:val="18"/>
          <w:lang w:val="en-IE" w:bidi="en-US"/>
        </w:rPr>
        <w:t>67</w:t>
      </w:r>
      <w:r w:rsidRPr="00983C95">
        <w:rPr>
          <w:rFonts w:ascii="Söhne" w:eastAsia="SimSun" w:hAnsi="Söhne" w:cs="Arial"/>
          <w:sz w:val="18"/>
          <w:szCs w:val="18"/>
          <w:lang w:val="en-IE" w:bidi="en-US"/>
        </w:rPr>
        <w:t>, 191–200.</w:t>
      </w:r>
    </w:p>
    <w:p w14:paraId="43062079"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Chayaburakul K., Nash G., Pratanpipat P., Sriurarairatana S. &amp; Withyachumnarnkul B</w:t>
      </w:r>
      <w:r w:rsidRPr="00983C95">
        <w:rPr>
          <w:rFonts w:ascii="Söhne" w:eastAsia="Times New Roman" w:hAnsi="Söhne" w:cs="Arial"/>
          <w:sz w:val="18"/>
          <w:szCs w:val="18"/>
          <w:lang w:val="en-IE" w:bidi="en-US"/>
        </w:rPr>
        <w:t xml:space="preserve">. (2004). Multiple pathogens found in growth-retarded black tiger shrimp </w:t>
      </w:r>
      <w:r w:rsidRPr="00983C95">
        <w:rPr>
          <w:rFonts w:ascii="Söhne" w:eastAsia="Times New Roman" w:hAnsi="Söhne" w:cs="Arial"/>
          <w:i/>
          <w:iCs/>
          <w:sz w:val="18"/>
          <w:szCs w:val="18"/>
          <w:lang w:val="en-IE" w:bidi="en-US"/>
        </w:rPr>
        <w:t>Penaeus monodon</w:t>
      </w:r>
      <w:r w:rsidRPr="00983C95">
        <w:rPr>
          <w:rFonts w:ascii="Söhne" w:eastAsia="Times New Roman" w:hAnsi="Söhne" w:cs="Arial"/>
          <w:sz w:val="18"/>
          <w:szCs w:val="18"/>
          <w:lang w:val="en-IE" w:bidi="en-US"/>
        </w:rPr>
        <w:t xml:space="preserve"> cultivated in Thailand. </w:t>
      </w:r>
      <w:r w:rsidRPr="00983C95">
        <w:rPr>
          <w:rFonts w:ascii="Söhne" w:eastAsia="Times New Roman" w:hAnsi="Söhne" w:cs="Arial"/>
          <w:i/>
          <w:iCs/>
          <w:sz w:val="18"/>
          <w:szCs w:val="18"/>
          <w:lang w:val="en-IE" w:bidi="en-US"/>
        </w:rPr>
        <w:t>Dis. Aquat. Org</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60</w:t>
      </w:r>
      <w:r w:rsidRPr="00983C95">
        <w:rPr>
          <w:rFonts w:ascii="Söhne" w:eastAsia="Times New Roman" w:hAnsi="Söhne" w:cs="Arial"/>
          <w:sz w:val="18"/>
          <w:szCs w:val="18"/>
          <w:lang w:val="en-IE" w:bidi="en-US"/>
        </w:rPr>
        <w:t xml:space="preserve">, 89–96. </w:t>
      </w:r>
    </w:p>
    <w:p w14:paraId="5D188AB6"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Chen S.N., Chang P.S. &amp; Kou G.H. (</w:t>
      </w:r>
      <w:r w:rsidRPr="00983C95">
        <w:rPr>
          <w:rFonts w:ascii="Söhne" w:eastAsia="Times New Roman" w:hAnsi="Söhne" w:cs="Arial"/>
          <w:sz w:val="18"/>
          <w:szCs w:val="18"/>
          <w:lang w:val="en-IE" w:bidi="en-US"/>
        </w:rPr>
        <w:t xml:space="preserve">1992). Infection route and eradication of </w:t>
      </w:r>
      <w:r w:rsidRPr="00983C95">
        <w:rPr>
          <w:rFonts w:ascii="Söhne" w:eastAsia="Times New Roman" w:hAnsi="Söhne" w:cs="Arial"/>
          <w:i/>
          <w:sz w:val="18"/>
          <w:szCs w:val="18"/>
          <w:lang w:val="en-IE" w:bidi="en-US"/>
        </w:rPr>
        <w:t xml:space="preserve">Penaeus monodon </w:t>
      </w:r>
      <w:r w:rsidRPr="00983C95">
        <w:rPr>
          <w:rFonts w:ascii="Söhne" w:eastAsia="Times New Roman" w:hAnsi="Söhne" w:cs="Arial"/>
          <w:sz w:val="18"/>
          <w:szCs w:val="18"/>
          <w:lang w:val="en-IE" w:bidi="en-US"/>
        </w:rPr>
        <w:t xml:space="preserve">baculovirus (MBV) in larval giant tiger prawns, </w:t>
      </w:r>
      <w:r w:rsidRPr="00983C95">
        <w:rPr>
          <w:rFonts w:ascii="Söhne" w:eastAsia="Times New Roman" w:hAnsi="Söhne" w:cs="Arial"/>
          <w:i/>
          <w:sz w:val="18"/>
          <w:szCs w:val="18"/>
          <w:lang w:val="en-IE" w:bidi="en-US"/>
        </w:rPr>
        <w:t xml:space="preserve">Penaeus monodon. In: </w:t>
      </w:r>
      <w:r w:rsidRPr="00983C95">
        <w:rPr>
          <w:rFonts w:ascii="Söhne" w:eastAsia="Times New Roman" w:hAnsi="Söhne" w:cs="Arial"/>
          <w:sz w:val="18"/>
          <w:szCs w:val="18"/>
          <w:lang w:val="en-IE" w:bidi="en-US"/>
        </w:rPr>
        <w:t>Diseases of Cultured Penaeid Shrimp in Asia and the United States, Fulks W. &amp; Main K.L., eds. Oceanic Institute, Honolulu, Hawaii, USA, 177–184.</w:t>
      </w:r>
    </w:p>
    <w:p w14:paraId="118E5045"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Cowley J.A., Rao M., Coman G.J. &amp; Cowley J.</w:t>
      </w:r>
      <w:r w:rsidRPr="00983C95">
        <w:rPr>
          <w:rFonts w:ascii="Söhne" w:eastAsia="Times New Roman" w:hAnsi="Söhne" w:cs="Times New Roman"/>
          <w:sz w:val="18"/>
          <w:lang w:val="en-IE" w:bidi="en-US"/>
        </w:rPr>
        <w:t xml:space="preserve"> (2018). Real-time PCR tests to specifically detect Infectious hypodermal and haemopoietic necrosis virus (IHHNV) lineages and an IHHNV endogenous viral element (EVE) integrated in the genome of Black Tiger shrimp (</w:t>
      </w:r>
      <w:r w:rsidRPr="00983C95">
        <w:rPr>
          <w:rFonts w:ascii="Söhne" w:eastAsia="Times New Roman" w:hAnsi="Söhne" w:cs="Times New Roman"/>
          <w:i/>
          <w:iCs/>
          <w:sz w:val="18"/>
          <w:lang w:val="en-IE" w:bidi="en-US"/>
        </w:rPr>
        <w:t>Penaeus monodon</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i/>
          <w:iCs/>
          <w:sz w:val="18"/>
          <w:lang w:val="en-IE" w:bidi="en-US"/>
        </w:rPr>
        <w:t>Dis. Aquat. Org</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bCs/>
          <w:sz w:val="18"/>
          <w:lang w:val="en-IE" w:bidi="en-US"/>
        </w:rPr>
        <w:t>129</w:t>
      </w:r>
      <w:r w:rsidRPr="00983C95">
        <w:rPr>
          <w:rFonts w:ascii="Söhne" w:eastAsia="Times New Roman" w:hAnsi="Söhne" w:cs="Times New Roman"/>
          <w:sz w:val="18"/>
          <w:lang w:val="en-IE" w:bidi="en-US"/>
        </w:rPr>
        <w:t>, 145–158.</w:t>
      </w:r>
    </w:p>
    <w:p w14:paraId="1BAA2CFA" w14:textId="77777777" w:rsidR="00983C95" w:rsidRPr="00983C95" w:rsidRDefault="00983C95" w:rsidP="00983C95">
      <w:pPr>
        <w:spacing w:after="240" w:line="240" w:lineRule="auto"/>
        <w:jc w:val="both"/>
        <w:rPr>
          <w:rFonts w:ascii="Söhne" w:eastAsia="Times New Roman" w:hAnsi="Söhne" w:cs="Times New Roman"/>
          <w:sz w:val="18"/>
          <w:lang w:val="es-ES" w:bidi="en-US"/>
        </w:rPr>
      </w:pPr>
      <w:r w:rsidRPr="00983C95">
        <w:rPr>
          <w:rFonts w:ascii="Söhne" w:eastAsia="Times New Roman" w:hAnsi="Söhne" w:cs="Times New Roman"/>
          <w:smallCaps/>
          <w:sz w:val="18"/>
          <w:lang w:val="en-IE" w:bidi="en-US"/>
        </w:rPr>
        <w:t>Dhar A.K., Roux M.M. &amp; Klimpel K.R.</w:t>
      </w:r>
      <w:r w:rsidRPr="00983C95">
        <w:rPr>
          <w:rFonts w:ascii="Söhne" w:eastAsia="Times New Roman" w:hAnsi="Söhne" w:cs="Times New Roman"/>
          <w:sz w:val="18"/>
          <w:lang w:val="en-IE" w:bidi="en-US"/>
        </w:rPr>
        <w:t xml:space="preserve"> (2001). Detection and quantification of Infectious hypodermal and hematopoeitic necrosis virus and White spot virus in shrimp using real-time quantitative PCR and SYBR green chemistry. </w:t>
      </w:r>
      <w:r w:rsidRPr="00983C95">
        <w:rPr>
          <w:rFonts w:ascii="Söhne" w:eastAsia="Times New Roman" w:hAnsi="Söhne" w:cs="Times New Roman"/>
          <w:i/>
          <w:iCs/>
          <w:sz w:val="18"/>
          <w:lang w:val="es-ES" w:bidi="en-US"/>
        </w:rPr>
        <w:t>J. Clin. Microbiol</w:t>
      </w:r>
      <w:r w:rsidRPr="00983C95">
        <w:rPr>
          <w:rFonts w:ascii="Söhne" w:eastAsia="Times New Roman" w:hAnsi="Söhne" w:cs="Times New Roman"/>
          <w:sz w:val="18"/>
          <w:lang w:val="es-ES" w:bidi="en-US"/>
        </w:rPr>
        <w:t xml:space="preserve">., </w:t>
      </w:r>
      <w:r w:rsidRPr="00983C95">
        <w:rPr>
          <w:rFonts w:ascii="Söhne" w:eastAsia="Times New Roman" w:hAnsi="Söhne" w:cs="Times New Roman"/>
          <w:b/>
          <w:sz w:val="18"/>
          <w:lang w:val="es-ES" w:bidi="en-US"/>
        </w:rPr>
        <w:t>39</w:t>
      </w:r>
      <w:r w:rsidRPr="00983C95">
        <w:rPr>
          <w:rFonts w:ascii="Söhne" w:eastAsia="Times New Roman" w:hAnsi="Söhne" w:cs="Times New Roman"/>
          <w:sz w:val="18"/>
          <w:lang w:val="es-ES" w:bidi="en-US"/>
        </w:rPr>
        <w:t>, 2835–2845.</w:t>
      </w:r>
    </w:p>
    <w:p w14:paraId="6A8C385A" w14:textId="77777777" w:rsidR="00983C95" w:rsidRPr="00983C95" w:rsidRDefault="00983C95" w:rsidP="00983C95">
      <w:pPr>
        <w:spacing w:after="240" w:line="240" w:lineRule="auto"/>
        <w:jc w:val="both"/>
        <w:rPr>
          <w:rFonts w:ascii="Söhne" w:eastAsia="Times New Roman" w:hAnsi="Söhne" w:cs="Times New Roman"/>
          <w:sz w:val="18"/>
          <w:lang w:val="es-ES" w:bidi="en-US"/>
        </w:rPr>
      </w:pPr>
      <w:r w:rsidRPr="00983C95">
        <w:rPr>
          <w:rFonts w:ascii="Söhne" w:eastAsia="Times New Roman" w:hAnsi="Söhne" w:cs="Times New Roman"/>
          <w:smallCaps/>
          <w:sz w:val="18"/>
          <w:lang w:val="es-ES" w:bidi="en-US"/>
        </w:rPr>
        <w:t>Encinas-Garcia T., Mendoza-Cano F., Enríquez-Espinoza T., Luken-Vega L., Vichido-Chávez R. &amp; Sánchez-Paz A.</w:t>
      </w:r>
      <w:r w:rsidRPr="00983C95">
        <w:rPr>
          <w:rFonts w:ascii="Söhne" w:eastAsia="Times New Roman" w:hAnsi="Söhne" w:cs="Times New Roman"/>
          <w:sz w:val="18"/>
          <w:lang w:val="es-ES" w:bidi="en-US"/>
        </w:rPr>
        <w:t xml:space="preserve"> (2015). </w:t>
      </w:r>
      <w:r w:rsidRPr="00983C95">
        <w:rPr>
          <w:rFonts w:ascii="Söhne" w:eastAsia="Times New Roman" w:hAnsi="Söhne" w:cs="Times New Roman"/>
          <w:sz w:val="18"/>
          <w:lang w:val="en-IE" w:bidi="en-US"/>
        </w:rPr>
        <w:t xml:space="preserve">An improved validated SYBR green-based real-time quantitative PCR assay for the detection of the </w:t>
      </w:r>
      <w:r w:rsidRPr="00983C95">
        <w:rPr>
          <w:rFonts w:ascii="Söhne" w:eastAsia="Times New Roman" w:hAnsi="Söhne" w:cs="Times New Roman"/>
          <w:i/>
          <w:iCs/>
          <w:sz w:val="18"/>
          <w:lang w:val="en-IE" w:bidi="en-US"/>
        </w:rPr>
        <w:t>Penaeus stylirostris</w:t>
      </w:r>
      <w:r w:rsidRPr="00983C95">
        <w:rPr>
          <w:rFonts w:ascii="Söhne" w:eastAsia="Times New Roman" w:hAnsi="Söhne" w:cs="Times New Roman"/>
          <w:sz w:val="18"/>
          <w:lang w:val="en-IE" w:bidi="en-US"/>
        </w:rPr>
        <w:t xml:space="preserve"> densovirus in penaeid shrimp. </w:t>
      </w:r>
      <w:r w:rsidRPr="00983C95">
        <w:rPr>
          <w:rFonts w:ascii="Söhne" w:eastAsia="Times New Roman" w:hAnsi="Söhne" w:cs="Times New Roman"/>
          <w:i/>
          <w:iCs/>
          <w:sz w:val="18"/>
          <w:lang w:val="es-ES" w:bidi="en-US"/>
        </w:rPr>
        <w:t>J. Virol. Methods</w:t>
      </w:r>
      <w:r w:rsidRPr="00983C95">
        <w:rPr>
          <w:rFonts w:ascii="Söhne" w:eastAsia="Times New Roman" w:hAnsi="Söhne" w:cs="Times New Roman"/>
          <w:sz w:val="18"/>
          <w:lang w:val="es-ES" w:bidi="en-US"/>
        </w:rPr>
        <w:t xml:space="preserve">, </w:t>
      </w:r>
      <w:r w:rsidRPr="00983C95">
        <w:rPr>
          <w:rFonts w:ascii="Söhne" w:eastAsia="Times New Roman" w:hAnsi="Söhne" w:cs="Times New Roman"/>
          <w:b/>
          <w:bCs/>
          <w:sz w:val="18"/>
          <w:lang w:val="es-ES" w:bidi="en-US"/>
        </w:rPr>
        <w:t>212</w:t>
      </w:r>
      <w:r w:rsidRPr="00983C95">
        <w:rPr>
          <w:rFonts w:ascii="Söhne" w:eastAsia="Times New Roman" w:hAnsi="Söhne" w:cs="Times New Roman"/>
          <w:sz w:val="18"/>
          <w:lang w:val="es-ES" w:bidi="en-US"/>
        </w:rPr>
        <w:t>, 53–58.</w:t>
      </w:r>
    </w:p>
    <w:p w14:paraId="205AC41E" w14:textId="77777777" w:rsidR="00983C95" w:rsidRPr="00983C95" w:rsidRDefault="00983C95" w:rsidP="00983C95">
      <w:pPr>
        <w:spacing w:after="240" w:line="240" w:lineRule="auto"/>
        <w:jc w:val="both"/>
        <w:rPr>
          <w:rFonts w:ascii="Söhne" w:eastAsia="SimSun" w:hAnsi="Söhne" w:cs="Times New Roman"/>
          <w:sz w:val="18"/>
          <w:lang w:val="en-IE" w:bidi="en-US"/>
        </w:rPr>
      </w:pPr>
      <w:r w:rsidRPr="00983C95">
        <w:rPr>
          <w:rFonts w:ascii="Söhne" w:eastAsia="SimSun" w:hAnsi="Söhne" w:cs="Times New Roman"/>
          <w:smallCaps/>
          <w:sz w:val="18"/>
          <w:lang w:val="es-ES" w:bidi="en-US"/>
        </w:rPr>
        <w:t>Fernando M.C., Enriquez-Espinoza T., Valenzuela-Castillo A., Encinas-Garcia T. &amp; Sanchez-Paz A.</w:t>
      </w:r>
      <w:r w:rsidRPr="00983C95">
        <w:rPr>
          <w:rFonts w:ascii="Söhne" w:eastAsia="SimSun" w:hAnsi="Söhne" w:cs="Times New Roman"/>
          <w:sz w:val="18"/>
          <w:lang w:val="es-ES" w:bidi="en-US"/>
        </w:rPr>
        <w:t xml:space="preserve"> (2016). </w:t>
      </w:r>
      <w:r w:rsidRPr="00983C95">
        <w:rPr>
          <w:rFonts w:ascii="Söhne" w:eastAsia="SimSun" w:hAnsi="Söhne" w:cs="Times New Roman"/>
          <w:sz w:val="18"/>
          <w:lang w:val="en-IE" w:bidi="en-US"/>
        </w:rPr>
        <w:t xml:space="preserve">High Occurrence of the Decapod Penstyldensovirus (PstDV1) Detected in Postlarvae of </w:t>
      </w:r>
      <w:r w:rsidRPr="00983C95">
        <w:rPr>
          <w:rFonts w:ascii="Söhne" w:eastAsia="SimSun" w:hAnsi="Söhne" w:cs="Times New Roman"/>
          <w:i/>
          <w:sz w:val="18"/>
          <w:lang w:val="en-IE" w:bidi="en-US"/>
        </w:rPr>
        <w:t>Penaeus vannamei</w:t>
      </w:r>
      <w:r w:rsidRPr="00983C95">
        <w:rPr>
          <w:rFonts w:ascii="Söhne" w:eastAsia="SimSun" w:hAnsi="Söhne" w:cs="Times New Roman"/>
          <w:sz w:val="18"/>
          <w:lang w:val="en-IE" w:bidi="en-US"/>
        </w:rPr>
        <w:t xml:space="preserve"> Produced in Commercial Hatcheries of Mexico. </w:t>
      </w:r>
      <w:r w:rsidRPr="00983C95">
        <w:rPr>
          <w:rFonts w:ascii="Söhne" w:eastAsia="SimSun" w:hAnsi="Söhne" w:cs="Times New Roman"/>
          <w:i/>
          <w:sz w:val="18"/>
          <w:lang w:val="en-IE" w:bidi="en-US"/>
        </w:rPr>
        <w:t xml:space="preserve">EcoHealth. </w:t>
      </w:r>
      <w:r w:rsidRPr="00983C95">
        <w:rPr>
          <w:rFonts w:ascii="Söhne" w:eastAsia="SimSun" w:hAnsi="Söhne" w:cs="Times New Roman"/>
          <w:b/>
          <w:sz w:val="18"/>
          <w:lang w:val="en-IE" w:bidi="en-US"/>
        </w:rPr>
        <w:t>13</w:t>
      </w:r>
      <w:r w:rsidRPr="00983C95">
        <w:rPr>
          <w:rFonts w:ascii="Söhne" w:eastAsia="SimSun" w:hAnsi="Söhne" w:cs="Times New Roman"/>
          <w:bCs/>
          <w:sz w:val="18"/>
          <w:lang w:val="en-IE" w:bidi="en-US"/>
        </w:rPr>
        <w:t xml:space="preserve">, </w:t>
      </w:r>
      <w:r w:rsidRPr="00983C95">
        <w:rPr>
          <w:rFonts w:ascii="Söhne" w:eastAsia="SimSun" w:hAnsi="Söhne" w:cs="Times New Roman"/>
          <w:sz w:val="18"/>
          <w:lang w:val="en-IE" w:bidi="en-US"/>
        </w:rPr>
        <w:t>591–596.</w:t>
      </w:r>
    </w:p>
    <w:p w14:paraId="55226A32" w14:textId="77777777" w:rsidR="00983C95" w:rsidRPr="00983C95" w:rsidRDefault="00983C95" w:rsidP="00983C95">
      <w:pPr>
        <w:spacing w:after="240" w:line="240" w:lineRule="auto"/>
        <w:jc w:val="both"/>
        <w:rPr>
          <w:rFonts w:ascii="Söhne" w:eastAsia="Times New Roman" w:hAnsi="Söhne" w:cs="Times New Roman"/>
          <w:iCs/>
          <w:strike/>
          <w:sz w:val="18"/>
          <w:lang w:val="en-IE" w:bidi="en-US"/>
        </w:rPr>
      </w:pPr>
      <w:r w:rsidRPr="00983C95">
        <w:rPr>
          <w:rFonts w:ascii="Söhne" w:eastAsia="Times New Roman" w:hAnsi="Söhne" w:cs="Times New Roman"/>
          <w:smallCaps/>
          <w:strike/>
          <w:sz w:val="18"/>
          <w:lang w:val="en-IE" w:bidi="en-US"/>
        </w:rPr>
        <w:t>Jagadeesan V., Ezhil Praveena P., Otta S.K. &amp; Jithendran K.P</w:t>
      </w:r>
      <w:r w:rsidRPr="00983C95">
        <w:rPr>
          <w:rFonts w:ascii="Söhne" w:eastAsia="Times New Roman" w:hAnsi="Söhne" w:cs="Times New Roman"/>
          <w:strike/>
          <w:sz w:val="18"/>
          <w:lang w:val="en-IE" w:bidi="en-US"/>
        </w:rPr>
        <w:t xml:space="preserve">. (2019). </w:t>
      </w:r>
      <w:r w:rsidRPr="00983C95">
        <w:rPr>
          <w:rFonts w:ascii="Söhne" w:eastAsia="Times New Roman" w:hAnsi="Söhne" w:cs="Times New Roman"/>
          <w:iCs/>
          <w:strike/>
          <w:sz w:val="18"/>
          <w:lang w:val="en-IE" w:bidi="en-US"/>
        </w:rPr>
        <w:t xml:space="preserve">Classical runt deformity syndrome cases in farmed </w:t>
      </w:r>
      <w:r w:rsidRPr="00983C95">
        <w:rPr>
          <w:rFonts w:ascii="Söhne" w:eastAsia="Times New Roman" w:hAnsi="Söhne" w:cs="Times New Roman"/>
          <w:i/>
          <w:strike/>
          <w:sz w:val="18"/>
          <w:lang w:val="en-IE" w:bidi="en-US"/>
        </w:rPr>
        <w:t>Penaeus vannamei</w:t>
      </w:r>
      <w:r w:rsidRPr="00983C95">
        <w:rPr>
          <w:rFonts w:ascii="Söhne" w:eastAsia="Times New Roman" w:hAnsi="Söhne" w:cs="Times New Roman"/>
          <w:iCs/>
          <w:strike/>
          <w:sz w:val="18"/>
          <w:lang w:val="en-IE" w:bidi="en-US"/>
        </w:rPr>
        <w:t xml:space="preserve"> along the east coast of India. </w:t>
      </w:r>
      <w:r w:rsidRPr="00983C95">
        <w:rPr>
          <w:rFonts w:ascii="Söhne" w:eastAsia="Times New Roman" w:hAnsi="Söhne" w:cs="Times New Roman"/>
          <w:i/>
          <w:strike/>
          <w:sz w:val="18"/>
          <w:lang w:val="en-IE" w:bidi="en-US"/>
        </w:rPr>
        <w:t>In:</w:t>
      </w:r>
      <w:r w:rsidRPr="00983C95">
        <w:rPr>
          <w:rFonts w:ascii="Söhne" w:eastAsia="Times New Roman" w:hAnsi="Söhne" w:cs="Times New Roman"/>
          <w:iCs/>
          <w:strike/>
          <w:sz w:val="18"/>
          <w:lang w:val="en-IE" w:bidi="en-US"/>
        </w:rPr>
        <w:t xml:space="preserve"> BRAQCON 2019: World Brackishwater Aquaculture Conference, Jithendran K.P., Saraswathy R., Balasubramanian C.P., Kumaraguru Vasagam K.P., Jayasankar V., Raghavan R., Alavandi S.V. &amp; Vijayan K.K., eds. Journal of Coastal Research, Special Issue No. 86, pp. 107–111. Coconut Creek (Florida), ISSN 0749-0208.</w:t>
      </w:r>
    </w:p>
    <w:p w14:paraId="2450DBF4"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Kalagayan G., Godin D., Kanna R., Hagino G., Sweeney J., Wyban J. &amp; Brock</w:t>
      </w:r>
      <w:r w:rsidRPr="00983C95">
        <w:rPr>
          <w:rFonts w:ascii="Söhne" w:eastAsia="Times New Roman" w:hAnsi="Söhne" w:cs="Times New Roman"/>
          <w:sz w:val="18"/>
          <w:lang w:val="en-IE" w:bidi="en-US"/>
        </w:rPr>
        <w:t xml:space="preserve"> J. (1991). IHHN virus as an etiological factor in runt-deformity syndrome of juvenile </w:t>
      </w:r>
      <w:r w:rsidRPr="00983C95">
        <w:rPr>
          <w:rFonts w:ascii="Söhne" w:eastAsia="Times New Roman" w:hAnsi="Söhne" w:cs="Times New Roman"/>
          <w:i/>
          <w:iCs/>
          <w:sz w:val="18"/>
          <w:lang w:val="en-IE" w:bidi="en-US"/>
        </w:rPr>
        <w:t>Penaeus vannamei</w:t>
      </w:r>
      <w:r w:rsidRPr="00983C95">
        <w:rPr>
          <w:rFonts w:ascii="Söhne" w:eastAsia="Times New Roman" w:hAnsi="Söhne" w:cs="Times New Roman"/>
          <w:sz w:val="18"/>
          <w:lang w:val="en-IE" w:bidi="en-US"/>
        </w:rPr>
        <w:t xml:space="preserve"> cultured in Hawaii. </w:t>
      </w:r>
      <w:r w:rsidRPr="00983C95">
        <w:rPr>
          <w:rFonts w:ascii="Söhne" w:eastAsia="Times New Roman" w:hAnsi="Söhne" w:cs="Times New Roman"/>
          <w:i/>
          <w:iCs/>
          <w:sz w:val="18"/>
          <w:lang w:val="en-IE" w:bidi="en-US"/>
        </w:rPr>
        <w:t>J. World Aquacult. Soc</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22</w:t>
      </w:r>
      <w:r w:rsidRPr="00983C95">
        <w:rPr>
          <w:rFonts w:ascii="Söhne" w:eastAsia="Times New Roman" w:hAnsi="Söhne" w:cs="Times New Roman"/>
          <w:sz w:val="18"/>
          <w:lang w:val="en-IE" w:bidi="en-US"/>
        </w:rPr>
        <w:t>, 235–243.</w:t>
      </w:r>
    </w:p>
    <w:p w14:paraId="4D12E6AC"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Krabsetsve K., Cullen B.R. &amp; Owens L.</w:t>
      </w:r>
      <w:r w:rsidRPr="00983C95">
        <w:rPr>
          <w:rFonts w:ascii="Söhne" w:eastAsia="Times New Roman" w:hAnsi="Söhne" w:cs="Arial"/>
          <w:sz w:val="18"/>
          <w:szCs w:val="18"/>
          <w:lang w:val="en-IE" w:bidi="en-US"/>
        </w:rPr>
        <w:t xml:space="preserve"> (2004). Rediscovery of the Australian strain of infectious hypodermal and haematopoietic necrosis virus. </w:t>
      </w:r>
      <w:r w:rsidRPr="00983C95">
        <w:rPr>
          <w:rFonts w:ascii="Söhne" w:eastAsia="Times New Roman" w:hAnsi="Söhne" w:cs="Arial"/>
          <w:i/>
          <w:iCs/>
          <w:sz w:val="18"/>
          <w:szCs w:val="18"/>
          <w:lang w:val="en-IE" w:bidi="en-US"/>
        </w:rPr>
        <w:t>Dis. Aquat. Org</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61</w:t>
      </w:r>
      <w:r w:rsidRPr="00983C95">
        <w:rPr>
          <w:rFonts w:ascii="Söhne" w:eastAsia="Times New Roman" w:hAnsi="Söhne" w:cs="Arial"/>
          <w:sz w:val="18"/>
          <w:szCs w:val="18"/>
          <w:lang w:val="en-IE" w:bidi="en-US"/>
        </w:rPr>
        <w:t>, 153–158.</w:t>
      </w:r>
    </w:p>
    <w:p w14:paraId="692835D0"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lastRenderedPageBreak/>
        <w:t>Lightner D.V</w:t>
      </w:r>
      <w:r w:rsidRPr="00983C95">
        <w:rPr>
          <w:rFonts w:ascii="Söhne" w:eastAsia="Times New Roman" w:hAnsi="Söhne" w:cs="Arial"/>
          <w:sz w:val="18"/>
          <w:szCs w:val="18"/>
          <w:lang w:val="en-IE" w:bidi="en-US"/>
        </w:rPr>
        <w:t>. (</w:t>
      </w:r>
      <w:r w:rsidRPr="00983C95">
        <w:rPr>
          <w:rFonts w:ascii="Söhne" w:eastAsia="Times New Roman" w:hAnsi="Söhne" w:cs="Arial"/>
          <w:smallCaps/>
          <w:sz w:val="18"/>
          <w:szCs w:val="18"/>
          <w:lang w:val="en-IE" w:bidi="en-US"/>
        </w:rPr>
        <w:t>ed</w:t>
      </w:r>
      <w:r w:rsidRPr="00983C95">
        <w:rPr>
          <w:rFonts w:ascii="Söhne" w:eastAsia="Times New Roman" w:hAnsi="Söhne" w:cs="Arial"/>
          <w:sz w:val="18"/>
          <w:szCs w:val="18"/>
          <w:lang w:val="en-IE" w:bidi="en-US"/>
        </w:rPr>
        <w:t>.) (1996). A Handbook of Shrimp Pathology and Diagnostic Procedures for Diseases of Cultured Penaeid Shrimp. World Aquaculture Society, Baton Rouge, Louisiana, USA, 304 pp.</w:t>
      </w:r>
    </w:p>
    <w:p w14:paraId="46A56AE4"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Lightner D.V. (2005</w:t>
      </w:r>
      <w:r w:rsidRPr="00983C95">
        <w:rPr>
          <w:rFonts w:ascii="Söhne" w:eastAsia="Times New Roman" w:hAnsi="Söhne" w:cs="Arial"/>
          <w:sz w:val="18"/>
          <w:szCs w:val="18"/>
          <w:lang w:val="en-IE" w:bidi="en-US"/>
        </w:rPr>
        <w:t xml:space="preserve">). Biosecurity in shrimp farming: pathogen exclusion through use of SPF stock and routine surveillance. </w:t>
      </w:r>
      <w:r w:rsidRPr="00983C95">
        <w:rPr>
          <w:rFonts w:ascii="Söhne" w:eastAsia="Times New Roman" w:hAnsi="Söhne" w:cs="Arial"/>
          <w:i/>
          <w:iCs/>
          <w:sz w:val="18"/>
          <w:szCs w:val="18"/>
          <w:lang w:val="en-IE" w:bidi="en-US"/>
        </w:rPr>
        <w:t>J. World Aquaculture Soc.</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36</w:t>
      </w:r>
      <w:r w:rsidRPr="00983C95">
        <w:rPr>
          <w:rFonts w:ascii="Söhne" w:eastAsia="Times New Roman" w:hAnsi="Söhne" w:cs="Arial"/>
          <w:sz w:val="18"/>
          <w:szCs w:val="18"/>
          <w:lang w:val="en-IE" w:bidi="en-US"/>
        </w:rPr>
        <w:t>, 229–248.</w:t>
      </w:r>
    </w:p>
    <w:p w14:paraId="5302901B"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Lightner D.V., Mohney L.L., Williams R.R. &amp; Redman R.M.</w:t>
      </w:r>
      <w:r w:rsidRPr="00983C95">
        <w:rPr>
          <w:rFonts w:ascii="Söhne" w:eastAsia="Times New Roman" w:hAnsi="Söhne" w:cs="Times New Roman"/>
          <w:sz w:val="18"/>
          <w:lang w:val="en-IE" w:bidi="en-US"/>
        </w:rPr>
        <w:t xml:space="preserve"> (1987). Glycerol tolerance of IHHN virus of penaeid shrimp. </w:t>
      </w:r>
      <w:r w:rsidRPr="00983C95">
        <w:rPr>
          <w:rFonts w:ascii="Söhne" w:eastAsia="Times New Roman" w:hAnsi="Söhne" w:cs="Times New Roman"/>
          <w:i/>
          <w:iCs/>
          <w:sz w:val="18"/>
          <w:lang w:val="en-IE" w:bidi="en-US"/>
        </w:rPr>
        <w:t>J. World Aquac. Soc</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18</w:t>
      </w:r>
      <w:r w:rsidRPr="00983C95">
        <w:rPr>
          <w:rFonts w:ascii="Söhne" w:eastAsia="Times New Roman" w:hAnsi="Söhne" w:cs="Times New Roman"/>
          <w:sz w:val="18"/>
          <w:lang w:val="en-IE" w:bidi="en-US"/>
        </w:rPr>
        <w:t>, 196–197.</w:t>
      </w:r>
    </w:p>
    <w:p w14:paraId="245F4F80" w14:textId="77777777" w:rsidR="00983C95" w:rsidRPr="00983C95" w:rsidRDefault="00983C95" w:rsidP="00983C95">
      <w:pPr>
        <w:spacing w:after="240" w:line="240" w:lineRule="auto"/>
        <w:jc w:val="both"/>
        <w:rPr>
          <w:rFonts w:ascii="Söhne" w:eastAsia="Times New Roman" w:hAnsi="Söhne" w:cs="Times New Roman"/>
          <w:sz w:val="18"/>
          <w:szCs w:val="18"/>
          <w:highlight w:val="yellow"/>
          <w:lang w:val="en-IE" w:bidi="en-US"/>
        </w:rPr>
      </w:pPr>
      <w:r w:rsidRPr="00983C95">
        <w:rPr>
          <w:rFonts w:ascii="Söhne" w:eastAsia="Times New Roman" w:hAnsi="Söhne" w:cs="Arial"/>
          <w:smallCaps/>
          <w:sz w:val="18"/>
          <w:szCs w:val="18"/>
          <w:lang w:val="en-IE" w:bidi="en-US"/>
        </w:rPr>
        <w:t>Lightner D.V., Redman R.M., Arce S. &amp; Moss S.M</w:t>
      </w:r>
      <w:r w:rsidRPr="00983C95">
        <w:rPr>
          <w:rFonts w:ascii="Söhne" w:eastAsia="Times New Roman" w:hAnsi="Söhne" w:cs="Arial"/>
          <w:sz w:val="18"/>
          <w:szCs w:val="18"/>
          <w:lang w:val="en-IE" w:bidi="en-US"/>
        </w:rPr>
        <w:t>. (2009). Specific pathogen-free (SPF) shrimp stocks in shrimp farming facilities as a novel method for disease control in crustaceans. In: Shellfish Safety and Quality, Shumway S. &amp; Rodrick G., eds. Woodhead Publishers, London, UK, 384–424.</w:t>
      </w:r>
    </w:p>
    <w:p w14:paraId="7779A65B"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GB" w:bidi="en-US"/>
        </w:rPr>
        <w:t>Lightner D.V. &amp; Redman R.M.</w:t>
      </w:r>
      <w:r w:rsidRPr="00983C95">
        <w:rPr>
          <w:rFonts w:ascii="Söhne" w:eastAsia="Times New Roman" w:hAnsi="Söhne" w:cs="Arial"/>
          <w:sz w:val="18"/>
          <w:szCs w:val="18"/>
          <w:lang w:val="en-GB" w:bidi="en-US"/>
        </w:rPr>
        <w:t xml:space="preserve"> (1998). </w:t>
      </w:r>
      <w:r w:rsidRPr="00983C95">
        <w:rPr>
          <w:rFonts w:ascii="Söhne" w:eastAsia="Times New Roman" w:hAnsi="Söhne" w:cs="Arial"/>
          <w:sz w:val="18"/>
          <w:szCs w:val="18"/>
          <w:lang w:val="en-IE" w:bidi="en-US"/>
        </w:rPr>
        <w:t xml:space="preserve">Shrimp diseases and current diagnostic methods. </w:t>
      </w:r>
      <w:r w:rsidRPr="00983C95">
        <w:rPr>
          <w:rFonts w:ascii="Söhne" w:eastAsia="Times New Roman" w:hAnsi="Söhne" w:cs="Arial"/>
          <w:i/>
          <w:iCs/>
          <w:sz w:val="18"/>
          <w:szCs w:val="18"/>
          <w:lang w:val="en-IE" w:bidi="en-US"/>
        </w:rPr>
        <w:t>Aquaculture</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164</w:t>
      </w:r>
      <w:r w:rsidRPr="00983C95">
        <w:rPr>
          <w:rFonts w:ascii="Söhne" w:eastAsia="Times New Roman" w:hAnsi="Söhne" w:cs="Arial"/>
          <w:sz w:val="18"/>
          <w:szCs w:val="18"/>
          <w:lang w:val="en-IE" w:bidi="en-US"/>
        </w:rPr>
        <w:t>, 201–220.</w:t>
      </w:r>
    </w:p>
    <w:p w14:paraId="10EFEE7E"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Lightner D.V., Redman R.M. &amp; Bell T.A.</w:t>
      </w:r>
      <w:r w:rsidRPr="00983C95">
        <w:rPr>
          <w:rFonts w:ascii="Söhne" w:eastAsia="Times New Roman" w:hAnsi="Söhne" w:cs="Times New Roman"/>
          <w:sz w:val="18"/>
          <w:lang w:val="en-IE" w:bidi="en-US"/>
        </w:rPr>
        <w:t xml:space="preserve"> (1983). Infectious hypodermal and hematopoietic necrosis a newly recognized virus disease of penaeid shrimp. </w:t>
      </w:r>
      <w:r w:rsidRPr="00983C95">
        <w:rPr>
          <w:rFonts w:ascii="Söhne" w:eastAsia="Times New Roman" w:hAnsi="Söhne" w:cs="Times New Roman"/>
          <w:i/>
          <w:iCs/>
          <w:sz w:val="18"/>
          <w:lang w:val="en-IE" w:bidi="en-US"/>
        </w:rPr>
        <w:t>J. Invertebr. Pathol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42</w:t>
      </w:r>
      <w:r w:rsidRPr="00983C95">
        <w:rPr>
          <w:rFonts w:ascii="Söhne" w:eastAsia="Times New Roman" w:hAnsi="Söhne" w:cs="Times New Roman"/>
          <w:sz w:val="18"/>
          <w:lang w:val="en-IE" w:bidi="en-US"/>
        </w:rPr>
        <w:t>, 62–70.</w:t>
      </w:r>
    </w:p>
    <w:p w14:paraId="5F9D0DF2"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Mari J., Bonami J.R. &amp; Lightner D.V. (199</w:t>
      </w:r>
      <w:r w:rsidRPr="00983C95">
        <w:rPr>
          <w:rFonts w:ascii="Söhne" w:eastAsia="Times New Roman" w:hAnsi="Söhne" w:cs="Times New Roman"/>
          <w:sz w:val="18"/>
          <w:lang w:val="en-IE" w:bidi="en-US"/>
        </w:rPr>
        <w:t xml:space="preserve">3). Partial cloning of the genome of infectious hypodermal and hematopoietic necrosis virus, an unusual parvovirus pathogenic for penaeid shrimps; diagnosis of the disease using a specific probe. </w:t>
      </w:r>
      <w:r w:rsidRPr="00983C95">
        <w:rPr>
          <w:rFonts w:ascii="Söhne" w:eastAsia="Times New Roman" w:hAnsi="Söhne" w:cs="Times New Roman"/>
          <w:i/>
          <w:iCs/>
          <w:sz w:val="18"/>
          <w:lang w:val="en-IE" w:bidi="en-US"/>
        </w:rPr>
        <w:t>J. Gen. Virol.,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74</w:t>
      </w:r>
      <w:r w:rsidRPr="00983C95">
        <w:rPr>
          <w:rFonts w:ascii="Söhne" w:eastAsia="Times New Roman" w:hAnsi="Söhne" w:cs="Times New Roman"/>
          <w:sz w:val="18"/>
          <w:lang w:val="en-IE" w:bidi="en-US"/>
        </w:rPr>
        <w:t>, 2637–2643.</w:t>
      </w:r>
    </w:p>
    <w:p w14:paraId="272CE345" w14:textId="77777777" w:rsidR="00983C95" w:rsidRPr="00983C95" w:rsidRDefault="00983C95" w:rsidP="00983C95">
      <w:pPr>
        <w:spacing w:after="240" w:line="240" w:lineRule="auto"/>
        <w:jc w:val="both"/>
        <w:rPr>
          <w:rFonts w:ascii="Söhne" w:eastAsia="Times New Roman" w:hAnsi="Söhne" w:cs="Times New Roman"/>
          <w:sz w:val="18"/>
          <w:lang w:val="en-GB" w:bidi="en-US"/>
        </w:rPr>
      </w:pPr>
      <w:r w:rsidRPr="00983C95">
        <w:rPr>
          <w:rFonts w:ascii="Söhne" w:eastAsia="Times New Roman" w:hAnsi="Söhne" w:cs="Times New Roman"/>
          <w:smallCaps/>
          <w:sz w:val="18"/>
          <w:lang w:val="en-IE" w:bidi="en-US"/>
        </w:rPr>
        <w:t>Montgomery-Brock D., Tacon A.G.J., Poulos B., &amp; Lightner D.V.</w:t>
      </w:r>
      <w:r w:rsidRPr="00983C95">
        <w:rPr>
          <w:rFonts w:ascii="Söhne" w:eastAsia="Times New Roman" w:hAnsi="Söhne" w:cs="Times New Roman"/>
          <w:sz w:val="18"/>
          <w:lang w:val="en-IE" w:bidi="en-US"/>
        </w:rPr>
        <w:t xml:space="preserve"> (2007). Reduced replication of infectious hypodermal and hematopoietic necrosis virus (IHHNV) in </w:t>
      </w:r>
      <w:r w:rsidRPr="00983C95">
        <w:rPr>
          <w:rFonts w:ascii="Söhne" w:eastAsia="Times New Roman" w:hAnsi="Söhne" w:cs="Times New Roman"/>
          <w:i/>
          <w:iCs/>
          <w:sz w:val="18"/>
          <w:lang w:val="en-IE" w:bidi="en-US"/>
        </w:rPr>
        <w:t>Litopenaeus vannamei</w:t>
      </w:r>
      <w:r w:rsidRPr="00983C95">
        <w:rPr>
          <w:rFonts w:ascii="Söhne" w:eastAsia="Times New Roman" w:hAnsi="Söhne" w:cs="Times New Roman"/>
          <w:sz w:val="18"/>
          <w:lang w:val="en-IE" w:bidi="en-US"/>
        </w:rPr>
        <w:t xml:space="preserve"> held in warm water. </w:t>
      </w:r>
      <w:r w:rsidRPr="00983C95">
        <w:rPr>
          <w:rFonts w:ascii="Söhne" w:eastAsia="Times New Roman" w:hAnsi="Söhne" w:cs="Times New Roman"/>
          <w:i/>
          <w:sz w:val="18"/>
          <w:lang w:val="en-IE" w:bidi="en-US"/>
        </w:rPr>
        <w:t>Aquaculture</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265</w:t>
      </w:r>
      <w:r w:rsidRPr="00983C95">
        <w:rPr>
          <w:rFonts w:ascii="Söhne" w:eastAsia="Times New Roman" w:hAnsi="Söhne" w:cs="Times New Roman"/>
          <w:sz w:val="18"/>
          <w:lang w:val="en-IE" w:bidi="en-US"/>
        </w:rPr>
        <w:t>, 41–48.</w:t>
      </w:r>
    </w:p>
    <w:p w14:paraId="00178631"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Morales-Covarrubias M.S., Nunan L.M., Lightner D.V., Mota-Urbina J.C., Garza-Aguirre M.C. &amp; Chavez-Sanchez M.C.</w:t>
      </w:r>
      <w:r w:rsidRPr="00983C95">
        <w:rPr>
          <w:rFonts w:ascii="Söhne" w:eastAsia="Times New Roman" w:hAnsi="Söhne" w:cs="Arial"/>
          <w:sz w:val="18"/>
          <w:szCs w:val="18"/>
          <w:lang w:val="en-IE" w:bidi="en-US"/>
        </w:rPr>
        <w:t xml:space="preserve"> (1999). Prevalence of IHHNV in wild broodstock of </w:t>
      </w:r>
      <w:r w:rsidRPr="00983C95">
        <w:rPr>
          <w:rFonts w:ascii="Söhne" w:eastAsia="Times New Roman" w:hAnsi="Söhne" w:cs="Arial"/>
          <w:i/>
          <w:iCs/>
          <w:sz w:val="18"/>
          <w:szCs w:val="18"/>
          <w:lang w:val="en-IE" w:bidi="en-US"/>
        </w:rPr>
        <w:t>Penaeus stylirostris</w:t>
      </w:r>
      <w:r w:rsidRPr="00983C95">
        <w:rPr>
          <w:rFonts w:ascii="Söhne" w:eastAsia="Times New Roman" w:hAnsi="Söhne" w:cs="Arial"/>
          <w:sz w:val="18"/>
          <w:szCs w:val="18"/>
          <w:lang w:val="en-IE" w:bidi="en-US"/>
        </w:rPr>
        <w:t xml:space="preserve"> from the upper Gulf of California, Mexico</w:t>
      </w:r>
      <w:r w:rsidRPr="00983C95">
        <w:rPr>
          <w:rFonts w:ascii="Söhne" w:eastAsia="Times New Roman" w:hAnsi="Söhne" w:cs="Arial"/>
          <w:i/>
          <w:iCs/>
          <w:sz w:val="18"/>
          <w:szCs w:val="18"/>
          <w:lang w:val="en-IE" w:bidi="en-US"/>
        </w:rPr>
        <w:t>. J. Aquat. Anim. Health</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11</w:t>
      </w:r>
      <w:r w:rsidRPr="00983C95">
        <w:rPr>
          <w:rFonts w:ascii="Söhne" w:eastAsia="Times New Roman" w:hAnsi="Söhne" w:cs="Arial"/>
          <w:sz w:val="18"/>
          <w:szCs w:val="18"/>
          <w:lang w:val="en-IE" w:bidi="en-US"/>
        </w:rPr>
        <w:t>, 296–301.</w:t>
      </w:r>
    </w:p>
    <w:p w14:paraId="2183BB27"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Motte, E., Yugcha E., Luzardo J., Castro F., Leclercq G., Rodríguez J., Miranda P., Borja O., Serrano J., Terreros M., Montalvo K., Narváez A., Tenorio N., Cedeño V., Mialhe E. &amp; Boulo V</w:t>
      </w:r>
      <w:r w:rsidRPr="00983C95">
        <w:rPr>
          <w:rFonts w:ascii="Söhne" w:eastAsia="Times New Roman" w:hAnsi="Söhne" w:cs="Times New Roman"/>
          <w:sz w:val="18"/>
          <w:lang w:val="en-IE" w:bidi="en-US"/>
        </w:rPr>
        <w:t xml:space="preserve">. (2003). Prevention of IHHNV vertical transmission in the white shrimp </w:t>
      </w:r>
      <w:r w:rsidRPr="00983C95">
        <w:rPr>
          <w:rFonts w:ascii="Söhne" w:eastAsia="Times New Roman" w:hAnsi="Söhne" w:cs="Times New Roman"/>
          <w:i/>
          <w:iCs/>
          <w:sz w:val="18"/>
          <w:lang w:val="en-IE" w:bidi="en-US"/>
        </w:rPr>
        <w:t xml:space="preserve">Litopenaeus vannamei. </w:t>
      </w:r>
      <w:r w:rsidRPr="00983C95">
        <w:rPr>
          <w:rFonts w:ascii="Söhne" w:eastAsia="Times New Roman" w:hAnsi="Söhne" w:cs="Times New Roman"/>
          <w:i/>
          <w:sz w:val="18"/>
          <w:lang w:val="en-IE" w:bidi="en-US"/>
        </w:rPr>
        <w:t>Aquaculture,</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219</w:t>
      </w:r>
      <w:r w:rsidRPr="00983C95">
        <w:rPr>
          <w:rFonts w:ascii="Söhne" w:eastAsia="Times New Roman" w:hAnsi="Söhne" w:cs="Times New Roman"/>
          <w:sz w:val="18"/>
          <w:lang w:val="en-IE" w:bidi="en-US"/>
        </w:rPr>
        <w:t xml:space="preserve">, 57–70. </w:t>
      </w:r>
    </w:p>
    <w:p w14:paraId="55AF873B"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Nunan L.M., Poulos B.T. &amp; Lightner D.V. (2000</w:t>
      </w:r>
      <w:r w:rsidRPr="00983C95">
        <w:rPr>
          <w:rFonts w:ascii="Söhne" w:eastAsia="Times New Roman" w:hAnsi="Söhne" w:cs="Times New Roman"/>
          <w:sz w:val="18"/>
          <w:lang w:val="en-IE" w:bidi="en-US"/>
        </w:rPr>
        <w:t xml:space="preserve">). Use of polymerase chain reaction (PCR) for the detection of infectious hypodermal and hematopoietic necrosis virus (IHHNV) in penaeid shrimp. </w:t>
      </w:r>
      <w:r w:rsidRPr="00983C95">
        <w:rPr>
          <w:rFonts w:ascii="Söhne" w:eastAsia="Times New Roman" w:hAnsi="Söhne" w:cs="Times New Roman"/>
          <w:i/>
          <w:iCs/>
          <w:sz w:val="18"/>
          <w:lang w:val="en-IE" w:bidi="en-US"/>
        </w:rPr>
        <w:t>Mar. Biotechnol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w:t>
      </w:r>
      <w:r w:rsidRPr="00983C95">
        <w:rPr>
          <w:rFonts w:ascii="Söhne" w:eastAsia="Times New Roman" w:hAnsi="Söhne" w:cs="Times New Roman"/>
          <w:sz w:val="18"/>
          <w:lang w:val="en-IE" w:bidi="en-US"/>
        </w:rPr>
        <w:t>, 319–328.</w:t>
      </w:r>
    </w:p>
    <w:p w14:paraId="49E3D586"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Nunan L.M., Arce S.M., Staha R.J. &amp; Lightner D.V.</w:t>
      </w:r>
      <w:r w:rsidRPr="00983C95">
        <w:rPr>
          <w:rFonts w:ascii="Söhne" w:eastAsia="Times New Roman" w:hAnsi="Söhne" w:cs="Arial"/>
          <w:sz w:val="18"/>
          <w:szCs w:val="18"/>
          <w:lang w:val="en-IE" w:bidi="en-US"/>
        </w:rPr>
        <w:t xml:space="preserve"> (2001). Prevalence of Infectious hypodermal and hematopoietic necrosis virus (IHHNV) and White spot syndrome virus (WSSV) in </w:t>
      </w:r>
      <w:r w:rsidRPr="00983C95">
        <w:rPr>
          <w:rFonts w:ascii="Söhne" w:eastAsia="Times New Roman" w:hAnsi="Söhne" w:cs="Arial"/>
          <w:i/>
          <w:iCs/>
          <w:sz w:val="18"/>
          <w:szCs w:val="18"/>
          <w:lang w:val="en-IE" w:bidi="en-US"/>
        </w:rPr>
        <w:t>Litopenaeus vannamei</w:t>
      </w:r>
      <w:r w:rsidRPr="00983C95">
        <w:rPr>
          <w:rFonts w:ascii="Söhne" w:eastAsia="Times New Roman" w:hAnsi="Söhne" w:cs="Arial"/>
          <w:sz w:val="18"/>
          <w:szCs w:val="18"/>
          <w:lang w:val="en-IE" w:bidi="en-US"/>
        </w:rPr>
        <w:t xml:space="preserve"> in the Pacific Ocean off the coast of Panama. </w:t>
      </w:r>
      <w:r w:rsidRPr="00983C95">
        <w:rPr>
          <w:rFonts w:ascii="Söhne" w:eastAsia="Times New Roman" w:hAnsi="Söhne" w:cs="Arial"/>
          <w:i/>
          <w:iCs/>
          <w:sz w:val="18"/>
          <w:szCs w:val="18"/>
          <w:lang w:val="en-IE" w:bidi="en-US"/>
        </w:rPr>
        <w:t>J. World Aquacult. Soc</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32</w:t>
      </w:r>
      <w:r w:rsidRPr="00983C95">
        <w:rPr>
          <w:rFonts w:ascii="Söhne" w:eastAsia="Times New Roman" w:hAnsi="Söhne" w:cs="Arial"/>
          <w:sz w:val="18"/>
          <w:szCs w:val="18"/>
          <w:lang w:val="en-IE" w:bidi="en-US"/>
        </w:rPr>
        <w:t>, 330–334.</w:t>
      </w:r>
    </w:p>
    <w:p w14:paraId="44834F85"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Pantoja C.R., Lightner D.V. &amp; Holtschmit K.H. (1999</w:t>
      </w:r>
      <w:r w:rsidRPr="00983C95">
        <w:rPr>
          <w:rFonts w:ascii="Söhne" w:eastAsia="Times New Roman" w:hAnsi="Söhne" w:cs="Arial"/>
          <w:sz w:val="18"/>
          <w:szCs w:val="18"/>
          <w:lang w:val="en-IE" w:bidi="en-US"/>
        </w:rPr>
        <w:t>). Prevalence and geographic distribution of IHHN parvovirus in wild penaeid shrimp (Crustacea: Decapoda) from the Gulf of California, Mexico</w:t>
      </w:r>
      <w:r w:rsidRPr="00983C95">
        <w:rPr>
          <w:rFonts w:ascii="Söhne" w:eastAsia="Times New Roman" w:hAnsi="Söhne" w:cs="Arial"/>
          <w:i/>
          <w:iCs/>
          <w:sz w:val="18"/>
          <w:szCs w:val="18"/>
          <w:lang w:val="en-IE" w:bidi="en-US"/>
        </w:rPr>
        <w:t>. J. Aquat. Anim. Health</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11</w:t>
      </w:r>
      <w:r w:rsidRPr="00983C95">
        <w:rPr>
          <w:rFonts w:ascii="Söhne" w:eastAsia="Times New Roman" w:hAnsi="Söhne" w:cs="Arial"/>
          <w:sz w:val="18"/>
          <w:szCs w:val="18"/>
          <w:lang w:val="en-IE" w:bidi="en-US"/>
        </w:rPr>
        <w:t>, 23–34.</w:t>
      </w:r>
    </w:p>
    <w:p w14:paraId="7C8E72FC" w14:textId="77777777" w:rsidR="00983C95" w:rsidRPr="00983C95" w:rsidRDefault="00983C95" w:rsidP="00983C95">
      <w:pPr>
        <w:spacing w:after="240" w:line="240" w:lineRule="auto"/>
        <w:jc w:val="both"/>
        <w:rPr>
          <w:rFonts w:ascii="Söhne" w:eastAsia="Times New Roman" w:hAnsi="Söhne" w:cs="Arial"/>
          <w:sz w:val="18"/>
          <w:szCs w:val="18"/>
          <w:lang w:val="en-IE" w:eastAsia="fr-FR" w:bidi="en-US"/>
        </w:rPr>
      </w:pPr>
      <w:r w:rsidRPr="00983C95">
        <w:rPr>
          <w:rFonts w:ascii="Söhne" w:eastAsia="MS Mincho" w:hAnsi="Söhne" w:cs="Arial"/>
          <w:smallCaps/>
          <w:sz w:val="18"/>
          <w:szCs w:val="18"/>
          <w:lang w:val="en-GB" w:eastAsia="fr-FR" w:bidi="en-US"/>
        </w:rPr>
        <w:t>Penzes J.J., Soderlund</w:t>
      </w:r>
      <w:r w:rsidRPr="00983C95">
        <w:rPr>
          <w:rFonts w:ascii="Söhne" w:eastAsia="MS Mincho" w:hAnsi="Söhne" w:cs="Arial"/>
          <w:smallCaps/>
          <w:sz w:val="18"/>
          <w:szCs w:val="18"/>
          <w:lang w:val="en-GB" w:eastAsia="fr-FR" w:bidi="en-US"/>
        </w:rPr>
        <w:noBreakHyphen/>
        <w:t>Venermo M., Canuti M., Eis</w:t>
      </w:r>
      <w:r w:rsidRPr="00983C95">
        <w:rPr>
          <w:rFonts w:ascii="Söhne" w:eastAsia="MS Mincho" w:hAnsi="Söhne" w:cs="Arial"/>
          <w:smallCaps/>
          <w:sz w:val="18"/>
          <w:szCs w:val="18"/>
          <w:lang w:val="en-GB" w:eastAsia="fr-FR" w:bidi="en-US"/>
        </w:rPr>
        <w:noBreakHyphen/>
        <w:t>Hubinger A.M., Hughes J., Cotmore S.F. &amp; Harrach B</w:t>
      </w:r>
      <w:r w:rsidRPr="00983C95">
        <w:rPr>
          <w:rFonts w:ascii="Söhne" w:eastAsia="MS Mincho" w:hAnsi="Söhne" w:cs="Arial"/>
          <w:sz w:val="18"/>
          <w:szCs w:val="18"/>
          <w:lang w:val="en-GB" w:eastAsia="fr-FR" w:bidi="en-US"/>
        </w:rPr>
        <w:t>. (</w:t>
      </w:r>
      <w:r w:rsidRPr="00983C95">
        <w:rPr>
          <w:rFonts w:ascii="Söhne" w:eastAsia="MS Mincho" w:hAnsi="Söhne" w:cs="Arial"/>
          <w:sz w:val="18"/>
          <w:szCs w:val="18"/>
          <w:lang w:val="en-IE" w:eastAsia="fr-FR" w:bidi="en-US"/>
        </w:rPr>
        <w:t xml:space="preserve">2020). Reorganizing the family </w:t>
      </w:r>
      <w:r w:rsidRPr="00983C95">
        <w:rPr>
          <w:rFonts w:ascii="Söhne" w:eastAsia="Times New Roman" w:hAnsi="Söhne" w:cs="Arial"/>
          <w:i/>
          <w:iCs/>
          <w:sz w:val="18"/>
          <w:szCs w:val="18"/>
          <w:lang w:val="en-IE" w:eastAsia="fr-FR" w:bidi="en-US"/>
        </w:rPr>
        <w:t>Parvoviridae</w:t>
      </w:r>
      <w:r w:rsidRPr="00983C95">
        <w:rPr>
          <w:rFonts w:ascii="Söhne" w:eastAsia="MS Mincho" w:hAnsi="Söhne" w:cs="Arial"/>
          <w:sz w:val="18"/>
          <w:szCs w:val="18"/>
          <w:lang w:val="en-IE" w:eastAsia="fr-FR" w:bidi="en-US"/>
        </w:rPr>
        <w:t xml:space="preserve">: a revised taxonomy independent of the canonical approach based on host association. </w:t>
      </w:r>
      <w:r w:rsidRPr="00983C95">
        <w:rPr>
          <w:rFonts w:ascii="Söhne" w:eastAsia="MS Mincho" w:hAnsi="Söhne" w:cs="Arial"/>
          <w:i/>
          <w:iCs/>
          <w:sz w:val="18"/>
          <w:szCs w:val="18"/>
          <w:lang w:val="en-IE" w:eastAsia="fr-FR" w:bidi="en-US"/>
        </w:rPr>
        <w:t>Arch. Virol</w:t>
      </w:r>
      <w:r w:rsidRPr="00983C95">
        <w:rPr>
          <w:rFonts w:ascii="Söhne" w:eastAsia="MS Mincho" w:hAnsi="Söhne" w:cs="Arial"/>
          <w:sz w:val="18"/>
          <w:szCs w:val="18"/>
          <w:lang w:val="en-IE" w:eastAsia="fr-FR" w:bidi="en-US"/>
        </w:rPr>
        <w:t xml:space="preserve">., </w:t>
      </w:r>
      <w:r w:rsidRPr="00983C95">
        <w:rPr>
          <w:rFonts w:ascii="Söhne" w:eastAsia="MS Mincho" w:hAnsi="Söhne" w:cs="Arial"/>
          <w:b/>
          <w:bCs/>
          <w:sz w:val="18"/>
          <w:szCs w:val="18"/>
          <w:lang w:val="en-IE" w:eastAsia="fr-FR" w:bidi="en-US"/>
        </w:rPr>
        <w:t>165</w:t>
      </w:r>
      <w:r w:rsidRPr="00983C95">
        <w:rPr>
          <w:rFonts w:ascii="Söhne" w:eastAsia="MS Mincho" w:hAnsi="Söhne" w:cs="Arial"/>
          <w:sz w:val="18"/>
          <w:szCs w:val="18"/>
          <w:lang w:val="en-IE" w:eastAsia="fr-FR" w:bidi="en-US"/>
        </w:rPr>
        <w:t>, 2133–2146. https://doi.org/10.1007/s00705-020-04632-4</w:t>
      </w:r>
    </w:p>
    <w:p w14:paraId="7FDE2D4C"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Primavera, J.H. &amp; Quinitio E.T.</w:t>
      </w:r>
      <w:r w:rsidRPr="00983C95">
        <w:rPr>
          <w:rFonts w:ascii="Söhne" w:eastAsia="Times New Roman" w:hAnsi="Söhne" w:cs="Times New Roman"/>
          <w:sz w:val="18"/>
          <w:lang w:val="en-IE" w:bidi="en-US"/>
        </w:rPr>
        <w:t xml:space="preserve"> (2000). Runt-deformity syndrome in cultured giant tiger prawn </w:t>
      </w:r>
      <w:r w:rsidRPr="00983C95">
        <w:rPr>
          <w:rFonts w:ascii="Söhne" w:eastAsia="Times New Roman" w:hAnsi="Söhne" w:cs="Times New Roman"/>
          <w:i/>
          <w:iCs/>
          <w:sz w:val="18"/>
          <w:lang w:val="en-IE" w:bidi="en-US"/>
        </w:rPr>
        <w:t>Penaeus monodon. J. Crust. Biol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20</w:t>
      </w:r>
      <w:r w:rsidRPr="00983C95">
        <w:rPr>
          <w:rFonts w:ascii="Söhne" w:eastAsia="Times New Roman" w:hAnsi="Söhne" w:cs="Times New Roman"/>
          <w:sz w:val="18"/>
          <w:lang w:val="en-IE" w:bidi="en-US"/>
        </w:rPr>
        <w:t>, 796–802.</w:t>
      </w:r>
    </w:p>
    <w:p w14:paraId="097CB147" w14:textId="77777777" w:rsidR="00983C95" w:rsidRPr="00983C95" w:rsidRDefault="00983C95" w:rsidP="00983C95">
      <w:pPr>
        <w:spacing w:after="240" w:line="240" w:lineRule="auto"/>
        <w:jc w:val="both"/>
        <w:rPr>
          <w:rFonts w:ascii="Söhne" w:eastAsia="Times New Roman" w:hAnsi="Söhne" w:cs="Times New Roman"/>
          <w:smallCaps/>
          <w:sz w:val="18"/>
          <w:lang w:val="en-IE" w:bidi="en-US"/>
        </w:rPr>
      </w:pPr>
      <w:r w:rsidRPr="00983C95">
        <w:rPr>
          <w:rFonts w:ascii="Söhne" w:eastAsia="Times New Roman" w:hAnsi="Söhne" w:cs="Times New Roman"/>
          <w:smallCaps/>
          <w:sz w:val="18"/>
          <w:lang w:val="en-US" w:bidi="en-US"/>
        </w:rPr>
        <w:t>Saksmerprome V., Jitrakorn S., Chayaburakul K., Laiphrom S., Boonsua K. &amp; Flegel T.W.</w:t>
      </w:r>
      <w:r w:rsidRPr="00983C95">
        <w:rPr>
          <w:rFonts w:ascii="Söhne" w:eastAsia="Times New Roman" w:hAnsi="Söhne" w:cs="Times New Roman"/>
          <w:sz w:val="18"/>
          <w:lang w:val="en-US" w:bidi="en-US"/>
        </w:rPr>
        <w:t xml:space="preserve"> (2011). Additional random, single to multiple genome fragments of </w:t>
      </w:r>
      <w:r w:rsidRPr="00983C95">
        <w:rPr>
          <w:rFonts w:ascii="Söhne" w:eastAsia="Times New Roman" w:hAnsi="Söhne" w:cs="Times New Roman"/>
          <w:i/>
          <w:sz w:val="18"/>
          <w:lang w:val="en-US" w:bidi="en-US"/>
        </w:rPr>
        <w:t xml:space="preserve">Penaeus stylirostris </w:t>
      </w:r>
      <w:r w:rsidRPr="00983C95">
        <w:rPr>
          <w:rFonts w:ascii="Söhne" w:eastAsia="Times New Roman" w:hAnsi="Söhne" w:cs="Times New Roman"/>
          <w:sz w:val="18"/>
          <w:lang w:val="en-US" w:bidi="en-US"/>
        </w:rPr>
        <w:t xml:space="preserve">densovirus in the giant tiger shrimp genome have implications for viral disease diagnosis. </w:t>
      </w:r>
      <w:r w:rsidRPr="00983C95">
        <w:rPr>
          <w:rFonts w:ascii="Söhne" w:eastAsia="Times New Roman" w:hAnsi="Söhne" w:cs="Arial"/>
          <w:i/>
          <w:sz w:val="18"/>
          <w:szCs w:val="18"/>
          <w:lang w:val="en-IE" w:bidi="en-US"/>
        </w:rPr>
        <w:t>Virus Res</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160</w:t>
      </w:r>
      <w:r w:rsidRPr="00983C95">
        <w:rPr>
          <w:rFonts w:ascii="Söhne" w:eastAsia="Times New Roman" w:hAnsi="Söhne" w:cs="Times New Roman"/>
          <w:sz w:val="18"/>
          <w:lang w:val="en-IE" w:bidi="en-US"/>
        </w:rPr>
        <w:t xml:space="preserve">, 180–190. </w:t>
      </w:r>
    </w:p>
    <w:p w14:paraId="0FA99D3B" w14:textId="77777777" w:rsidR="00983C95" w:rsidRPr="00983C95" w:rsidRDefault="00983C95" w:rsidP="00983C95">
      <w:pPr>
        <w:spacing w:after="240" w:line="240" w:lineRule="auto"/>
        <w:jc w:val="both"/>
        <w:rPr>
          <w:rFonts w:ascii="Söhne" w:eastAsia="Yu Mincho" w:hAnsi="Söhne" w:cs="Times New Roman"/>
          <w:sz w:val="18"/>
          <w:lang w:val="en-IE" w:bidi="en-US"/>
        </w:rPr>
      </w:pPr>
      <w:r w:rsidRPr="00983C95">
        <w:rPr>
          <w:rFonts w:ascii="Söhne" w:eastAsia="Yu Mincho" w:hAnsi="Söhne" w:cs="Times New Roman"/>
          <w:smallCaps/>
          <w:sz w:val="18"/>
          <w:lang w:val="en-IE" w:bidi="en-US"/>
        </w:rPr>
        <w:t>Sellars M.J., Cowley J.A., Musson D., Rao M., Menzies M.L, Coman G. J. &amp; Murphy B.S.</w:t>
      </w:r>
      <w:r w:rsidRPr="00983C95">
        <w:rPr>
          <w:rFonts w:ascii="Söhne" w:eastAsia="Yu Mincho" w:hAnsi="Söhne" w:cs="Times New Roman"/>
          <w:sz w:val="18"/>
          <w:lang w:val="en-IE" w:bidi="en-US"/>
        </w:rPr>
        <w:t xml:space="preserve"> (2019). </w:t>
      </w:r>
      <w:r w:rsidRPr="00983C95">
        <w:rPr>
          <w:rFonts w:ascii="Söhne" w:eastAsia="Yu Mincho" w:hAnsi="Söhne" w:cs="Times New Roman"/>
          <w:sz w:val="18"/>
          <w:lang w:val="en-US" w:bidi="en-US"/>
        </w:rPr>
        <w:t>Reduced growth performance of Black Tiger shrimp (</w:t>
      </w:r>
      <w:r w:rsidRPr="00983C95">
        <w:rPr>
          <w:rFonts w:ascii="Söhne" w:eastAsia="Yu Mincho" w:hAnsi="Söhne" w:cs="Times New Roman"/>
          <w:i/>
          <w:iCs/>
          <w:sz w:val="18"/>
          <w:lang w:val="en-US" w:bidi="en-US"/>
        </w:rPr>
        <w:t>Penaeus monodon</w:t>
      </w:r>
      <w:r w:rsidRPr="00983C95">
        <w:rPr>
          <w:rFonts w:ascii="Söhne" w:eastAsia="Yu Mincho" w:hAnsi="Söhne" w:cs="Times New Roman"/>
          <w:sz w:val="18"/>
          <w:lang w:val="en-US" w:bidi="en-US"/>
        </w:rPr>
        <w:t>) infected with infectious hypodermal and hematopoietic necrosis virus</w:t>
      </w:r>
      <w:r w:rsidRPr="00983C95">
        <w:rPr>
          <w:rFonts w:ascii="Söhne" w:eastAsia="Yu Mincho" w:hAnsi="Söhne" w:cs="Times New Roman"/>
          <w:sz w:val="18"/>
          <w:lang w:val="en-IE" w:bidi="en-US"/>
        </w:rPr>
        <w:t xml:space="preserve">. </w:t>
      </w:r>
      <w:r w:rsidRPr="00983C95">
        <w:rPr>
          <w:rFonts w:ascii="Söhne" w:eastAsia="Yu Mincho" w:hAnsi="Söhne" w:cs="Times New Roman"/>
          <w:i/>
          <w:iCs/>
          <w:sz w:val="18"/>
          <w:lang w:val="en-IE" w:bidi="en-US"/>
        </w:rPr>
        <w:t>Aquaculture</w:t>
      </w:r>
      <w:r w:rsidRPr="00983C95">
        <w:rPr>
          <w:rFonts w:ascii="Söhne" w:eastAsia="Yu Mincho" w:hAnsi="Söhne" w:cs="Times New Roman"/>
          <w:sz w:val="18"/>
          <w:lang w:val="en-IE" w:bidi="en-US"/>
        </w:rPr>
        <w:t xml:space="preserve">, </w:t>
      </w:r>
      <w:r w:rsidRPr="00983C95">
        <w:rPr>
          <w:rFonts w:ascii="Söhne" w:eastAsia="Yu Mincho" w:hAnsi="Söhne" w:cs="Times New Roman"/>
          <w:b/>
          <w:bCs/>
          <w:sz w:val="18"/>
          <w:lang w:val="en-IE" w:bidi="en-US"/>
        </w:rPr>
        <w:t>499</w:t>
      </w:r>
      <w:r w:rsidRPr="00983C95">
        <w:rPr>
          <w:rFonts w:ascii="Söhne" w:eastAsia="Yu Mincho" w:hAnsi="Söhne" w:cs="Times New Roman"/>
          <w:sz w:val="18"/>
          <w:lang w:val="en-IE" w:bidi="en-US"/>
        </w:rPr>
        <w:t>, 160–166.</w:t>
      </w:r>
    </w:p>
    <w:p w14:paraId="790188E4"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lastRenderedPageBreak/>
        <w:t>Shike H., Dhar A.K., Burns J.C., Shimizu C., Jousset F.X., Klimpel K.R. &amp; Bergoin</w:t>
      </w:r>
      <w:r w:rsidRPr="00983C95">
        <w:rPr>
          <w:rFonts w:ascii="Söhne" w:eastAsia="Times New Roman" w:hAnsi="Söhne" w:cs="Times New Roman"/>
          <w:sz w:val="18"/>
          <w:lang w:val="en-IE" w:bidi="en-US"/>
        </w:rPr>
        <w:t xml:space="preserve"> M. (2000). Infectious hypodermal and hematopoietic necrosis virus of shrimp is related to mosquito Brevidensoviruses. </w:t>
      </w:r>
      <w:r w:rsidRPr="00983C95">
        <w:rPr>
          <w:rFonts w:ascii="Söhne" w:eastAsia="Times New Roman" w:hAnsi="Söhne" w:cs="Times New Roman"/>
          <w:i/>
          <w:iCs/>
          <w:sz w:val="18"/>
          <w:lang w:val="en-IE" w:bidi="en-US"/>
        </w:rPr>
        <w:t>Virology</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277</w:t>
      </w:r>
      <w:r w:rsidRPr="00983C95">
        <w:rPr>
          <w:rFonts w:ascii="Söhne" w:eastAsia="Times New Roman" w:hAnsi="Söhne" w:cs="Times New Roman"/>
          <w:sz w:val="18"/>
          <w:lang w:val="en-IE" w:bidi="en-US"/>
        </w:rPr>
        <w:t>, 167–177.</w:t>
      </w:r>
    </w:p>
    <w:p w14:paraId="4AED9654" w14:textId="77777777" w:rsidR="00983C95" w:rsidRPr="00983C95" w:rsidRDefault="00983C95" w:rsidP="00983C95">
      <w:pPr>
        <w:spacing w:after="240" w:line="240" w:lineRule="auto"/>
        <w:jc w:val="both"/>
        <w:rPr>
          <w:rFonts w:ascii="Söhne" w:eastAsia="SimSun" w:hAnsi="Söhne" w:cs="Times New Roman"/>
          <w:sz w:val="18"/>
          <w:lang w:val="en-IE" w:bidi="en-US"/>
        </w:rPr>
      </w:pPr>
      <w:r w:rsidRPr="00983C95">
        <w:rPr>
          <w:rFonts w:ascii="Söhne" w:eastAsia="SimSun" w:hAnsi="Söhne" w:cs="Times New Roman"/>
          <w:smallCaps/>
          <w:sz w:val="18"/>
          <w:lang w:val="en-IE" w:bidi="en-US"/>
        </w:rPr>
        <w:t>Sun Z.F., Hu C. Q., Ren C. H. &amp; Shen Q.</w:t>
      </w:r>
      <w:r w:rsidRPr="00983C95">
        <w:rPr>
          <w:rFonts w:ascii="Söhne" w:eastAsia="SimSun" w:hAnsi="Söhne" w:cs="Times New Roman"/>
          <w:sz w:val="18"/>
          <w:lang w:val="en-IE" w:bidi="en-US"/>
        </w:rPr>
        <w:t xml:space="preserve"> (2006). Sensitive and rapid detection of infectious hypodermal and hematopoietic necrosis virus (IHHNV) in shrimps by loop-mediated isothermal amplification. </w:t>
      </w:r>
      <w:r w:rsidRPr="00983C95">
        <w:rPr>
          <w:rFonts w:ascii="Söhne" w:eastAsia="SimSun" w:hAnsi="Söhne" w:cs="Times New Roman"/>
          <w:i/>
          <w:sz w:val="18"/>
          <w:lang w:val="en-IE" w:bidi="en-US"/>
        </w:rPr>
        <w:t>J. Virol. Methods,</w:t>
      </w:r>
      <w:r w:rsidRPr="00983C95">
        <w:rPr>
          <w:rFonts w:ascii="Söhne" w:eastAsia="SimSun" w:hAnsi="Söhne" w:cs="Times New Roman"/>
          <w:sz w:val="18"/>
          <w:lang w:val="en-IE" w:bidi="en-US"/>
        </w:rPr>
        <w:t xml:space="preserve"> </w:t>
      </w:r>
      <w:r w:rsidRPr="00983C95">
        <w:rPr>
          <w:rFonts w:ascii="Söhne" w:eastAsia="SimSun" w:hAnsi="Söhne" w:cs="Times New Roman"/>
          <w:b/>
          <w:bCs/>
          <w:sz w:val="18"/>
          <w:lang w:val="en-IE" w:bidi="en-US"/>
        </w:rPr>
        <w:t>131</w:t>
      </w:r>
      <w:r w:rsidRPr="00983C95">
        <w:rPr>
          <w:rFonts w:ascii="Söhne" w:eastAsia="SimSun" w:hAnsi="Söhne" w:cs="Times New Roman"/>
          <w:sz w:val="18"/>
          <w:lang w:val="en-IE" w:bidi="en-US"/>
        </w:rPr>
        <w:t>, 41–46.</w:t>
      </w:r>
    </w:p>
    <w:p w14:paraId="17ACE5F7" w14:textId="77777777" w:rsidR="00983C95" w:rsidRPr="00983C95" w:rsidRDefault="00983C95" w:rsidP="00983C95">
      <w:pPr>
        <w:spacing w:after="240" w:line="240" w:lineRule="auto"/>
        <w:jc w:val="both"/>
        <w:rPr>
          <w:rFonts w:ascii="Söhne" w:eastAsia="MS Mincho" w:hAnsi="Söhne" w:cs="Times New Roman"/>
          <w:sz w:val="18"/>
          <w:lang w:val="en-IE" w:bidi="en-US"/>
        </w:rPr>
      </w:pPr>
      <w:r w:rsidRPr="00983C95">
        <w:rPr>
          <w:rFonts w:ascii="Söhne" w:eastAsia="Times New Roman" w:hAnsi="Söhne" w:cs="Times New Roman"/>
          <w:smallCaps/>
          <w:sz w:val="18"/>
          <w:lang w:val="en-IE" w:bidi="en-US"/>
        </w:rPr>
        <w:t>Taengchaiyaphum S.</w:t>
      </w:r>
      <w:r w:rsidRPr="00983C95">
        <w:rPr>
          <w:rFonts w:ascii="Söhne" w:eastAsia="Arial Unicode MS" w:hAnsi="Söhne" w:cs="Times New Roman"/>
          <w:smallCaps/>
          <w:sz w:val="18"/>
          <w:lang w:val="en-IE" w:bidi="en-US"/>
        </w:rPr>
        <w:t xml:space="preserve">, </w:t>
      </w:r>
      <w:r w:rsidRPr="00983C95">
        <w:rPr>
          <w:rFonts w:ascii="Söhne" w:eastAsia="Times New Roman" w:hAnsi="Söhne" w:cs="Times New Roman"/>
          <w:smallCaps/>
          <w:sz w:val="18"/>
          <w:lang w:val="en-IE" w:bidi="en-US"/>
        </w:rPr>
        <w:t>Buathongkam P.</w:t>
      </w:r>
      <w:r w:rsidRPr="00983C95">
        <w:rPr>
          <w:rFonts w:ascii="Söhne" w:eastAsia="Arial Unicode MS" w:hAnsi="Söhne" w:cs="Times New Roman"/>
          <w:smallCaps/>
          <w:sz w:val="18"/>
          <w:lang w:val="en-IE" w:bidi="en-US"/>
        </w:rPr>
        <w:t xml:space="preserve">, </w:t>
      </w:r>
      <w:r w:rsidRPr="00983C95">
        <w:rPr>
          <w:rFonts w:ascii="Söhne" w:eastAsia="Times New Roman" w:hAnsi="Söhne" w:cs="Times New Roman"/>
          <w:smallCaps/>
          <w:sz w:val="18"/>
          <w:lang w:val="en-IE" w:bidi="en-US"/>
        </w:rPr>
        <w:t>Sukthaworn S.</w:t>
      </w:r>
      <w:r w:rsidRPr="00983C95">
        <w:rPr>
          <w:rFonts w:ascii="Söhne" w:eastAsia="Arial Unicode MS" w:hAnsi="Söhne" w:cs="Times New Roman"/>
          <w:smallCaps/>
          <w:sz w:val="18"/>
          <w:lang w:val="en-IE" w:bidi="en-US"/>
        </w:rPr>
        <w:t xml:space="preserve">, </w:t>
      </w:r>
      <w:r w:rsidRPr="00983C95">
        <w:rPr>
          <w:rFonts w:ascii="Söhne" w:eastAsia="Times New Roman" w:hAnsi="Söhne" w:cs="Times New Roman"/>
          <w:smallCaps/>
          <w:sz w:val="18"/>
          <w:lang w:val="en-IE" w:bidi="en-US"/>
        </w:rPr>
        <w:t>Wongkhaluang P.</w:t>
      </w:r>
      <w:r w:rsidRPr="00983C95">
        <w:rPr>
          <w:rFonts w:ascii="Söhne" w:eastAsia="Arial Unicode MS" w:hAnsi="Söhne" w:cs="Times New Roman"/>
          <w:smallCaps/>
          <w:sz w:val="18"/>
          <w:lang w:val="en-IE" w:bidi="en-US"/>
        </w:rPr>
        <w:t xml:space="preserve">, </w:t>
      </w:r>
      <w:r w:rsidRPr="00983C95">
        <w:rPr>
          <w:rFonts w:ascii="Söhne" w:eastAsia="Times New Roman" w:hAnsi="Söhne" w:cs="Times New Roman"/>
          <w:smallCaps/>
          <w:sz w:val="18"/>
          <w:lang w:val="en-IE" w:bidi="en-US"/>
        </w:rPr>
        <w:t>Sritunyalucksana</w:t>
      </w:r>
      <w:r w:rsidRPr="00983C95">
        <w:rPr>
          <w:rFonts w:ascii="Söhne" w:eastAsia="Arial Unicode MS" w:hAnsi="Söhne" w:cs="Times New Roman"/>
          <w:smallCaps/>
          <w:sz w:val="18"/>
          <w:lang w:val="en-IE" w:bidi="en-US"/>
        </w:rPr>
        <w:t xml:space="preserve"> </w:t>
      </w:r>
      <w:r w:rsidRPr="00983C95">
        <w:rPr>
          <w:rFonts w:ascii="Söhne" w:eastAsia="Times New Roman" w:hAnsi="Söhne" w:cs="Times New Roman"/>
          <w:smallCaps/>
          <w:sz w:val="18"/>
          <w:lang w:val="en-IE" w:bidi="en-US"/>
        </w:rPr>
        <w:t xml:space="preserve">K. &amp; Flegel T.W. </w:t>
      </w:r>
      <w:r w:rsidRPr="00983C95">
        <w:rPr>
          <w:rFonts w:ascii="Söhne" w:eastAsia="Times New Roman" w:hAnsi="Söhne" w:cs="Times New Roman"/>
          <w:sz w:val="18"/>
          <w:lang w:val="en-IE" w:bidi="en-US"/>
        </w:rPr>
        <w:t xml:space="preserve">(2021). Shrimp Parvovirus Circular DNA Fragments Arise From Both Endogenous Viral Elements and the Infecting Virus. </w:t>
      </w:r>
      <w:r w:rsidRPr="00983C95">
        <w:rPr>
          <w:rFonts w:ascii="Söhne" w:eastAsia="Times New Roman" w:hAnsi="Söhne" w:cs="Times New Roman"/>
          <w:i/>
          <w:iCs/>
          <w:sz w:val="18"/>
          <w:lang w:val="en-IE" w:bidi="en-US"/>
        </w:rPr>
        <w:t>Front. Immunol</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bCs/>
          <w:sz w:val="18"/>
          <w:lang w:val="en-IE" w:bidi="en-US"/>
        </w:rPr>
        <w:t>12</w:t>
      </w:r>
      <w:r w:rsidRPr="00983C95">
        <w:rPr>
          <w:rFonts w:ascii="Söhne" w:eastAsia="Times New Roman" w:hAnsi="Söhne" w:cs="Times New Roman"/>
          <w:sz w:val="18"/>
          <w:lang w:val="en-IE" w:bidi="en-US"/>
        </w:rPr>
        <w:t>, 729528.</w:t>
      </w:r>
      <w:r w:rsidRPr="00983C95">
        <w:rPr>
          <w:rFonts w:ascii="Söhne" w:eastAsia="MS Mincho" w:hAnsi="Söhne" w:cs="Times New Roman"/>
          <w:sz w:val="18"/>
          <w:lang w:val="en-IE" w:bidi="en-US"/>
        </w:rPr>
        <w:t xml:space="preserve"> doi: 10.3389/fimmu.2021.729528.</w:t>
      </w:r>
    </w:p>
    <w:p w14:paraId="5EFEF937" w14:textId="77777777" w:rsidR="00983C95" w:rsidRPr="00983C95" w:rsidRDefault="00983C95" w:rsidP="00983C95">
      <w:pPr>
        <w:spacing w:after="240" w:line="240" w:lineRule="auto"/>
        <w:jc w:val="both"/>
        <w:rPr>
          <w:rFonts w:ascii="Söhne" w:eastAsia="Times New Roman" w:hAnsi="Söhne" w:cs="Times New Roman"/>
          <w:sz w:val="18"/>
          <w:u w:val="double"/>
          <w:lang w:val="en-IE" w:bidi="en-US"/>
        </w:rPr>
      </w:pPr>
      <w:r w:rsidRPr="00983C95">
        <w:rPr>
          <w:rFonts w:ascii="Söhne" w:eastAsia="Times New Roman" w:hAnsi="Söhne" w:cs="Times New Roman"/>
          <w:smallCaps/>
          <w:sz w:val="18"/>
          <w:u w:val="double"/>
          <w:lang w:val="en-IE" w:bidi="en-US"/>
        </w:rPr>
        <w:t>Taengchaiyaphum S.</w:t>
      </w:r>
      <w:r w:rsidRPr="00983C95">
        <w:rPr>
          <w:rFonts w:ascii="Söhne" w:eastAsia="Arial Unicode MS" w:hAnsi="Söhne" w:cs="Times New Roman"/>
          <w:smallCaps/>
          <w:sz w:val="18"/>
          <w:u w:val="double"/>
          <w:lang w:val="en-IE" w:bidi="en-US"/>
        </w:rPr>
        <w:t xml:space="preserve">, </w:t>
      </w:r>
      <w:r w:rsidRPr="00983C95">
        <w:rPr>
          <w:rFonts w:ascii="Söhne" w:eastAsia="Times New Roman" w:hAnsi="Söhne" w:cs="Times New Roman"/>
          <w:smallCaps/>
          <w:sz w:val="18"/>
          <w:u w:val="double"/>
          <w:lang w:val="en-IE" w:bidi="en-US"/>
        </w:rPr>
        <w:t>Wongkhaluang P.</w:t>
      </w:r>
      <w:r w:rsidRPr="00983C95">
        <w:rPr>
          <w:rFonts w:ascii="Söhne" w:eastAsia="Arial Unicode MS" w:hAnsi="Söhne" w:cs="Times New Roman"/>
          <w:smallCaps/>
          <w:sz w:val="18"/>
          <w:u w:val="double"/>
          <w:lang w:val="en-IE" w:bidi="en-US"/>
        </w:rPr>
        <w:t xml:space="preserve">,  </w:t>
      </w:r>
      <w:r w:rsidRPr="00983C95">
        <w:rPr>
          <w:rFonts w:ascii="Söhne" w:eastAsia="Times New Roman" w:hAnsi="Söhne" w:cs="Times New Roman"/>
          <w:smallCaps/>
          <w:sz w:val="18"/>
          <w:u w:val="double"/>
          <w:lang w:val="en-IE" w:bidi="en-US"/>
        </w:rPr>
        <w:t>Sittikankaew K., Karoonuthaisiri N., Flegel T.W. &amp; Sritunyalucksana</w:t>
      </w:r>
      <w:r w:rsidRPr="00983C95">
        <w:rPr>
          <w:rFonts w:ascii="Söhne" w:eastAsia="Arial Unicode MS" w:hAnsi="Söhne" w:cs="Times New Roman"/>
          <w:smallCaps/>
          <w:sz w:val="18"/>
          <w:u w:val="double"/>
          <w:lang w:val="en-IE" w:bidi="en-US"/>
        </w:rPr>
        <w:t xml:space="preserve"> </w:t>
      </w:r>
      <w:r w:rsidRPr="00983C95">
        <w:rPr>
          <w:rFonts w:ascii="Söhne" w:eastAsia="Times New Roman" w:hAnsi="Söhne" w:cs="Times New Roman"/>
          <w:smallCaps/>
          <w:sz w:val="18"/>
          <w:u w:val="double"/>
          <w:lang w:val="en-IE" w:bidi="en-US"/>
        </w:rPr>
        <w:t xml:space="preserve">K. </w:t>
      </w:r>
      <w:r w:rsidRPr="00983C95">
        <w:rPr>
          <w:rFonts w:ascii="Söhne" w:eastAsia="Times New Roman" w:hAnsi="Söhne" w:cs="Times New Roman"/>
          <w:sz w:val="18"/>
          <w:u w:val="double"/>
          <w:lang w:val="en-AU" w:bidi="en-US"/>
        </w:rPr>
        <w:t xml:space="preserve">(2022). </w:t>
      </w:r>
      <w:r w:rsidRPr="00983C95">
        <w:rPr>
          <w:rFonts w:ascii="Söhne" w:eastAsia="Times New Roman" w:hAnsi="Söhne" w:cs="Times New Roman"/>
          <w:sz w:val="18"/>
          <w:u w:val="double"/>
          <w:lang w:val="en-IE" w:bidi="en-US"/>
        </w:rPr>
        <w:t xml:space="preserve">Shrimp genome sequence contains independent clusters of ancient and current Endogenous Viral Elements (EVE) of the parvovirus IHHNV. </w:t>
      </w:r>
      <w:r w:rsidRPr="00983C95">
        <w:rPr>
          <w:rFonts w:ascii="Söhne" w:eastAsia="Times New Roman" w:hAnsi="Söhne" w:cs="Times New Roman"/>
          <w:i/>
          <w:iCs/>
          <w:sz w:val="18"/>
          <w:u w:val="double"/>
          <w:lang w:val="en-IE" w:bidi="en-US"/>
        </w:rPr>
        <w:t xml:space="preserve">BMC Genomics, </w:t>
      </w:r>
      <w:r w:rsidRPr="00983C95">
        <w:rPr>
          <w:rFonts w:ascii="Söhne" w:eastAsia="Times New Roman" w:hAnsi="Söhne" w:cs="Times New Roman"/>
          <w:b/>
          <w:bCs/>
          <w:sz w:val="18"/>
          <w:u w:val="double"/>
          <w:lang w:val="en-IE" w:bidi="en-US"/>
        </w:rPr>
        <w:t>23</w:t>
      </w:r>
      <w:r w:rsidRPr="00983C95">
        <w:rPr>
          <w:rFonts w:ascii="Söhne" w:eastAsia="Times New Roman" w:hAnsi="Söhne" w:cs="Times New Roman"/>
          <w:i/>
          <w:iCs/>
          <w:sz w:val="18"/>
          <w:u w:val="double"/>
          <w:lang w:val="en-IE" w:bidi="en-US"/>
        </w:rPr>
        <w:t xml:space="preserve">, </w:t>
      </w:r>
      <w:r w:rsidRPr="00983C95">
        <w:rPr>
          <w:rFonts w:ascii="Söhne" w:eastAsia="Times New Roman" w:hAnsi="Söhne" w:cs="Times New Roman"/>
          <w:sz w:val="18"/>
          <w:u w:val="double"/>
          <w:lang w:val="en-IE" w:bidi="en-US"/>
        </w:rPr>
        <w:t>565. doi: 10.1186/s12864-022-08802-3.</w:t>
      </w:r>
    </w:p>
    <w:p w14:paraId="76AB8D91" w14:textId="77777777" w:rsidR="00983C95" w:rsidRPr="00983C95" w:rsidRDefault="00983C95" w:rsidP="00983C95">
      <w:pPr>
        <w:spacing w:after="240" w:line="240" w:lineRule="auto"/>
        <w:jc w:val="both"/>
        <w:rPr>
          <w:rFonts w:ascii="Söhne" w:eastAsia="Times New Roman" w:hAnsi="Söhne" w:cs="Arial"/>
          <w:sz w:val="18"/>
          <w:szCs w:val="18"/>
          <w:lang w:val="en-IE" w:bidi="en-US"/>
        </w:rPr>
      </w:pPr>
      <w:r w:rsidRPr="00983C95">
        <w:rPr>
          <w:rFonts w:ascii="Söhne" w:eastAsia="Times New Roman" w:hAnsi="Söhne" w:cs="Arial"/>
          <w:smallCaps/>
          <w:sz w:val="18"/>
          <w:szCs w:val="18"/>
          <w:lang w:val="en-IE" w:bidi="en-US"/>
        </w:rPr>
        <w:t>Tang K.F.J., Durand S.V., White B.L., Redman R.M., Pantoja C.R. &amp; Lightner D.V.</w:t>
      </w:r>
      <w:r w:rsidRPr="00983C95">
        <w:rPr>
          <w:rFonts w:ascii="Söhne" w:eastAsia="Times New Roman" w:hAnsi="Söhne" w:cs="Arial"/>
          <w:sz w:val="18"/>
          <w:szCs w:val="18"/>
          <w:lang w:val="en-IE" w:bidi="en-US"/>
        </w:rPr>
        <w:t xml:space="preserve"> (2000). Postlarvae and juveniles of a selected line of </w:t>
      </w:r>
      <w:r w:rsidRPr="00983C95">
        <w:rPr>
          <w:rFonts w:ascii="Söhne" w:eastAsia="Times New Roman" w:hAnsi="Söhne" w:cs="Arial"/>
          <w:i/>
          <w:sz w:val="18"/>
          <w:szCs w:val="18"/>
          <w:lang w:val="en-IE" w:bidi="en-US"/>
        </w:rPr>
        <w:t>Penaeus</w:t>
      </w:r>
      <w:r w:rsidRPr="00983C95">
        <w:rPr>
          <w:rFonts w:ascii="Söhne" w:eastAsia="Times New Roman" w:hAnsi="Söhne" w:cs="Arial"/>
          <w:sz w:val="18"/>
          <w:szCs w:val="18"/>
          <w:lang w:val="en-IE" w:bidi="en-US"/>
        </w:rPr>
        <w:t xml:space="preserve"> </w:t>
      </w:r>
      <w:r w:rsidRPr="00983C95">
        <w:rPr>
          <w:rFonts w:ascii="Söhne" w:eastAsia="Times New Roman" w:hAnsi="Söhne" w:cs="Arial"/>
          <w:i/>
          <w:sz w:val="18"/>
          <w:szCs w:val="18"/>
          <w:lang w:val="en-IE" w:bidi="en-US"/>
        </w:rPr>
        <w:t>stylirostris</w:t>
      </w:r>
      <w:r w:rsidRPr="00983C95">
        <w:rPr>
          <w:rFonts w:ascii="Söhne" w:eastAsia="Times New Roman" w:hAnsi="Söhne" w:cs="Arial"/>
          <w:sz w:val="18"/>
          <w:szCs w:val="18"/>
          <w:lang w:val="en-IE" w:bidi="en-US"/>
        </w:rPr>
        <w:t xml:space="preserve"> are resistant to infectious hypodermal and hematopoietic necrosis virus infection. </w:t>
      </w:r>
      <w:r w:rsidRPr="00983C95">
        <w:rPr>
          <w:rFonts w:ascii="Söhne" w:eastAsia="Times New Roman" w:hAnsi="Söhne" w:cs="Arial"/>
          <w:i/>
          <w:iCs/>
          <w:sz w:val="18"/>
          <w:szCs w:val="18"/>
          <w:lang w:val="en-IE" w:bidi="en-US"/>
        </w:rPr>
        <w:t>Aquaculture</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190</w:t>
      </w:r>
      <w:r w:rsidRPr="00983C95">
        <w:rPr>
          <w:rFonts w:ascii="Söhne" w:eastAsia="Times New Roman" w:hAnsi="Söhne" w:cs="Arial"/>
          <w:sz w:val="18"/>
          <w:szCs w:val="18"/>
          <w:lang w:val="en-IE" w:bidi="en-US"/>
        </w:rPr>
        <w:t>, 203–210.</w:t>
      </w:r>
    </w:p>
    <w:p w14:paraId="2E62E4AB" w14:textId="77777777" w:rsidR="00983C95" w:rsidRPr="00983C95" w:rsidRDefault="00983C95" w:rsidP="00983C95">
      <w:pPr>
        <w:spacing w:after="240" w:line="240" w:lineRule="auto"/>
        <w:jc w:val="both"/>
        <w:rPr>
          <w:rFonts w:ascii="Söhne" w:eastAsia="Times New Roman" w:hAnsi="Söhne" w:cs="Times New Roman"/>
          <w:sz w:val="18"/>
          <w:lang w:val="en-IE" w:bidi="en-US"/>
        </w:rPr>
      </w:pPr>
      <w:r w:rsidRPr="00983C95">
        <w:rPr>
          <w:rFonts w:ascii="Söhne" w:eastAsia="Times New Roman" w:hAnsi="Söhne" w:cs="Times New Roman"/>
          <w:smallCaps/>
          <w:sz w:val="18"/>
          <w:lang w:val="en-IE" w:bidi="en-US"/>
        </w:rPr>
        <w:t>Tang K.F.J. &amp; Lightner D.V</w:t>
      </w:r>
      <w:r w:rsidRPr="00983C95">
        <w:rPr>
          <w:rFonts w:ascii="Söhne" w:eastAsia="Times New Roman" w:hAnsi="Söhne" w:cs="Times New Roman"/>
          <w:sz w:val="18"/>
          <w:lang w:val="en-IE" w:bidi="en-US"/>
        </w:rPr>
        <w:t xml:space="preserve">. (2001). Detection and quantification of infectious hypodermal and hematopoietic necrosis virus in penaeid shrimp by real-time PCR. </w:t>
      </w:r>
      <w:r w:rsidRPr="00983C95">
        <w:rPr>
          <w:rFonts w:ascii="Söhne" w:eastAsia="Times New Roman" w:hAnsi="Söhne" w:cs="Times New Roman"/>
          <w:i/>
          <w:iCs/>
          <w:sz w:val="18"/>
          <w:lang w:val="en-IE" w:bidi="en-US"/>
        </w:rPr>
        <w:t>Dis. Aquat. Org.,</w:t>
      </w:r>
      <w:r w:rsidRPr="00983C95">
        <w:rPr>
          <w:rFonts w:ascii="Söhne" w:eastAsia="Times New Roman" w:hAnsi="Söhne" w:cs="Times New Roman"/>
          <w:sz w:val="18"/>
          <w:lang w:val="en-IE" w:bidi="en-US"/>
        </w:rPr>
        <w:t xml:space="preserve"> </w:t>
      </w:r>
      <w:r w:rsidRPr="00983C95">
        <w:rPr>
          <w:rFonts w:ascii="Söhne" w:eastAsia="Times New Roman" w:hAnsi="Söhne" w:cs="Times New Roman"/>
          <w:b/>
          <w:sz w:val="18"/>
          <w:lang w:val="en-IE" w:bidi="en-US"/>
        </w:rPr>
        <w:t>44</w:t>
      </w:r>
      <w:r w:rsidRPr="00983C95">
        <w:rPr>
          <w:rFonts w:ascii="Söhne" w:eastAsia="Times New Roman" w:hAnsi="Söhne" w:cs="Times New Roman"/>
          <w:sz w:val="18"/>
          <w:lang w:val="en-IE" w:bidi="en-US"/>
        </w:rPr>
        <w:t>, 79–85.</w:t>
      </w:r>
    </w:p>
    <w:p w14:paraId="22EB4AAA" w14:textId="77777777" w:rsidR="00983C95" w:rsidRPr="00983C95" w:rsidRDefault="00983C95" w:rsidP="00983C95">
      <w:pPr>
        <w:spacing w:after="240" w:line="240" w:lineRule="auto"/>
        <w:jc w:val="both"/>
        <w:rPr>
          <w:rFonts w:ascii="Söhne" w:eastAsia="Times New Roman" w:hAnsi="Söhne" w:cs="Times New Roman"/>
          <w:sz w:val="18"/>
          <w:lang w:val="en-US" w:bidi="en-US"/>
        </w:rPr>
      </w:pPr>
      <w:r w:rsidRPr="00983C95">
        <w:rPr>
          <w:rFonts w:ascii="Söhne" w:eastAsia="Times New Roman" w:hAnsi="Söhne" w:cs="Times New Roman"/>
          <w:smallCaps/>
          <w:sz w:val="18"/>
          <w:lang w:val="en-IE" w:bidi="en-US"/>
        </w:rPr>
        <w:t>Tang K.F.J. &amp; Lightner D.V.</w:t>
      </w:r>
      <w:r w:rsidRPr="00983C95">
        <w:rPr>
          <w:rFonts w:ascii="Söhne" w:eastAsia="Times New Roman" w:hAnsi="Söhne" w:cs="Times New Roman"/>
          <w:sz w:val="18"/>
          <w:lang w:val="en-IE" w:bidi="en-US"/>
        </w:rPr>
        <w:t xml:space="preserve"> (2006). </w:t>
      </w:r>
      <w:r w:rsidRPr="00983C95">
        <w:rPr>
          <w:rFonts w:ascii="Söhne" w:eastAsia="Times New Roman" w:hAnsi="Söhne" w:cs="Times New Roman"/>
          <w:sz w:val="18"/>
          <w:lang w:val="en-US" w:bidi="en-US"/>
        </w:rPr>
        <w:t xml:space="preserve">Infectious hypodermal and hematopoietic necrosis virus (IHHNV) in the genome of the black tiger prawn </w:t>
      </w:r>
      <w:r w:rsidRPr="00983C95">
        <w:rPr>
          <w:rFonts w:ascii="Söhne" w:eastAsia="Times New Roman" w:hAnsi="Söhne" w:cs="Times New Roman"/>
          <w:i/>
          <w:iCs/>
          <w:sz w:val="18"/>
          <w:lang w:val="en-US" w:bidi="en-US"/>
        </w:rPr>
        <w:t>Penaeus monodon</w:t>
      </w:r>
      <w:r w:rsidRPr="00983C95">
        <w:rPr>
          <w:rFonts w:ascii="Söhne" w:eastAsia="Times New Roman" w:hAnsi="Söhne" w:cs="Times New Roman"/>
          <w:sz w:val="18"/>
          <w:lang w:val="en-US" w:bidi="en-US"/>
        </w:rPr>
        <w:t xml:space="preserve"> from Africa and Australia. </w:t>
      </w:r>
      <w:r w:rsidRPr="00983C95">
        <w:rPr>
          <w:rFonts w:ascii="Söhne" w:eastAsia="Times New Roman" w:hAnsi="Söhne" w:cs="Times New Roman"/>
          <w:i/>
          <w:sz w:val="18"/>
          <w:lang w:val="en-US" w:bidi="en-US"/>
        </w:rPr>
        <w:t>Virus Res.,</w:t>
      </w:r>
      <w:r w:rsidRPr="00983C95">
        <w:rPr>
          <w:rFonts w:ascii="Söhne" w:eastAsia="Times New Roman" w:hAnsi="Söhne" w:cs="Times New Roman"/>
          <w:b/>
          <w:sz w:val="18"/>
          <w:lang w:val="en-US" w:bidi="en-US"/>
        </w:rPr>
        <w:t xml:space="preserve"> 118</w:t>
      </w:r>
      <w:r w:rsidRPr="00983C95">
        <w:rPr>
          <w:rFonts w:ascii="Söhne" w:eastAsia="Times New Roman" w:hAnsi="Söhne" w:cs="Times New Roman"/>
          <w:sz w:val="18"/>
          <w:lang w:val="en-US" w:bidi="en-US"/>
        </w:rPr>
        <w:t xml:space="preserve">, 185–191. </w:t>
      </w:r>
    </w:p>
    <w:p w14:paraId="379C2DBB" w14:textId="77777777" w:rsidR="00983C95" w:rsidRPr="00983C95" w:rsidRDefault="00983C95" w:rsidP="00983C95">
      <w:pPr>
        <w:spacing w:after="240" w:line="240" w:lineRule="auto"/>
        <w:jc w:val="both"/>
        <w:rPr>
          <w:rFonts w:ascii="Söhne" w:eastAsia="Times New Roman" w:hAnsi="Söhne" w:cs="Times New Roman"/>
          <w:sz w:val="18"/>
          <w:lang w:val="en-US" w:bidi="en-US"/>
        </w:rPr>
      </w:pPr>
      <w:r w:rsidRPr="00983C95">
        <w:rPr>
          <w:rFonts w:ascii="Söhne" w:eastAsia="Times New Roman" w:hAnsi="Söhne" w:cs="Times New Roman"/>
          <w:smallCaps/>
          <w:sz w:val="18"/>
          <w:lang w:val="en-IE" w:bidi="en-US"/>
        </w:rPr>
        <w:t>Tang K.F.J., Navarro S.A. &amp; Lightner D.V.</w:t>
      </w:r>
      <w:r w:rsidRPr="00983C95">
        <w:rPr>
          <w:rFonts w:ascii="Söhne" w:eastAsia="Times New Roman" w:hAnsi="Söhne" w:cs="Times New Roman"/>
          <w:sz w:val="18"/>
          <w:lang w:val="en-IE" w:bidi="en-US"/>
        </w:rPr>
        <w:t xml:space="preserve"> (2007). </w:t>
      </w:r>
      <w:r w:rsidRPr="00983C95">
        <w:rPr>
          <w:rFonts w:ascii="Söhne" w:eastAsia="Times New Roman" w:hAnsi="Söhne" w:cs="Times New Roman"/>
          <w:sz w:val="18"/>
          <w:lang w:val="en-US" w:bidi="en-US"/>
        </w:rPr>
        <w:t xml:space="preserve">A PCR assay for discriminating between infectious hypodermal and hematopoietic necrosis virus (IHHNV) and the virus-related sequences in the genome of </w:t>
      </w:r>
      <w:r w:rsidRPr="00983C95">
        <w:rPr>
          <w:rFonts w:ascii="Söhne" w:eastAsia="Times New Roman" w:hAnsi="Söhne" w:cs="Times New Roman"/>
          <w:i/>
          <w:iCs/>
          <w:sz w:val="18"/>
          <w:lang w:val="en-US" w:bidi="en-US"/>
        </w:rPr>
        <w:t>Penaeus monodon</w:t>
      </w:r>
      <w:r w:rsidRPr="00983C95">
        <w:rPr>
          <w:rFonts w:ascii="Söhne" w:eastAsia="Times New Roman" w:hAnsi="Söhne" w:cs="Times New Roman"/>
          <w:sz w:val="18"/>
          <w:lang w:val="en-US" w:bidi="en-US"/>
        </w:rPr>
        <w:t xml:space="preserve">. </w:t>
      </w:r>
      <w:r w:rsidRPr="00983C95">
        <w:rPr>
          <w:rFonts w:ascii="Söhne" w:eastAsia="Times New Roman" w:hAnsi="Söhne" w:cs="Times New Roman"/>
          <w:i/>
          <w:sz w:val="18"/>
          <w:lang w:val="en-US" w:bidi="en-US"/>
        </w:rPr>
        <w:t>Dis. Aquat. Org.,</w:t>
      </w:r>
      <w:r w:rsidRPr="00983C95">
        <w:rPr>
          <w:rFonts w:ascii="Söhne" w:eastAsia="Times New Roman" w:hAnsi="Söhne" w:cs="Times New Roman"/>
          <w:sz w:val="18"/>
          <w:lang w:val="en-US" w:bidi="en-US"/>
        </w:rPr>
        <w:t xml:space="preserve"> </w:t>
      </w:r>
      <w:r w:rsidRPr="00983C95">
        <w:rPr>
          <w:rFonts w:ascii="Söhne" w:eastAsia="Times New Roman" w:hAnsi="Söhne" w:cs="Times New Roman"/>
          <w:b/>
          <w:sz w:val="18"/>
          <w:lang w:val="en-US" w:bidi="en-US"/>
        </w:rPr>
        <w:t>74</w:t>
      </w:r>
      <w:r w:rsidRPr="00983C95">
        <w:rPr>
          <w:rFonts w:ascii="Söhne" w:eastAsia="Times New Roman" w:hAnsi="Söhne" w:cs="Times New Roman"/>
          <w:sz w:val="18"/>
          <w:lang w:val="en-US" w:bidi="en-US"/>
        </w:rPr>
        <w:t xml:space="preserve">, 165–170. </w:t>
      </w:r>
    </w:p>
    <w:p w14:paraId="7D932DD4" w14:textId="77777777" w:rsidR="00983C95" w:rsidRPr="00983C95" w:rsidRDefault="00983C95" w:rsidP="00983C95">
      <w:pPr>
        <w:spacing w:after="240" w:line="240" w:lineRule="auto"/>
        <w:jc w:val="both"/>
        <w:rPr>
          <w:rFonts w:ascii="Söhne" w:eastAsia="Times New Roman" w:hAnsi="Söhne" w:cs="Times New Roman"/>
          <w:sz w:val="18"/>
          <w:szCs w:val="18"/>
          <w:highlight w:val="yellow"/>
          <w:lang w:val="en-US" w:bidi="en-US"/>
        </w:rPr>
      </w:pPr>
      <w:r w:rsidRPr="00983C95">
        <w:rPr>
          <w:rFonts w:ascii="Söhne" w:eastAsia="Times New Roman" w:hAnsi="Söhne" w:cs="Arial"/>
          <w:smallCaps/>
          <w:sz w:val="18"/>
          <w:szCs w:val="18"/>
          <w:lang w:val="en-IE" w:bidi="en-US"/>
        </w:rPr>
        <w:t>Tang K.F.J., Poulos B.T., Wang J., Redman R.M., Shih H.H. &amp; Lightner D.V.</w:t>
      </w:r>
      <w:r w:rsidRPr="00983C95">
        <w:rPr>
          <w:rFonts w:ascii="Söhne" w:eastAsia="Times New Roman" w:hAnsi="Söhne" w:cs="Arial"/>
          <w:sz w:val="18"/>
          <w:szCs w:val="18"/>
          <w:lang w:val="en-IE" w:bidi="en-US"/>
        </w:rPr>
        <w:t xml:space="preserve"> (2003). Geographic variations among infectious hypodermal and hematopoietic necrosis virus (IHHNV) isolates and characteristics of their infection. </w:t>
      </w:r>
      <w:r w:rsidRPr="00983C95">
        <w:rPr>
          <w:rFonts w:ascii="Söhne" w:eastAsia="Times New Roman" w:hAnsi="Söhne" w:cs="Arial"/>
          <w:i/>
          <w:iCs/>
          <w:sz w:val="18"/>
          <w:szCs w:val="18"/>
          <w:lang w:val="en-IE" w:bidi="en-US"/>
        </w:rPr>
        <w:t>Dis. Aquat. Org</w:t>
      </w:r>
      <w:r w:rsidRPr="00983C95">
        <w:rPr>
          <w:rFonts w:ascii="Söhne" w:eastAsia="Times New Roman" w:hAnsi="Söhne" w:cs="Arial"/>
          <w:sz w:val="18"/>
          <w:szCs w:val="18"/>
          <w:lang w:val="en-IE" w:bidi="en-US"/>
        </w:rPr>
        <w:t xml:space="preserve">., </w:t>
      </w:r>
      <w:r w:rsidRPr="00983C95">
        <w:rPr>
          <w:rFonts w:ascii="Söhne" w:eastAsia="Times New Roman" w:hAnsi="Söhne" w:cs="Arial"/>
          <w:b/>
          <w:bCs/>
          <w:sz w:val="18"/>
          <w:szCs w:val="18"/>
          <w:lang w:val="en-IE" w:bidi="en-US"/>
        </w:rPr>
        <w:t>53</w:t>
      </w:r>
      <w:r w:rsidRPr="00983C95">
        <w:rPr>
          <w:rFonts w:ascii="Söhne" w:eastAsia="Times New Roman" w:hAnsi="Söhne" w:cs="Arial"/>
          <w:sz w:val="18"/>
          <w:szCs w:val="18"/>
          <w:lang w:val="en-IE" w:bidi="en-US"/>
        </w:rPr>
        <w:t>, 91–99.</w:t>
      </w:r>
    </w:p>
    <w:p w14:paraId="1252287C" w14:textId="77777777" w:rsidR="00983C95" w:rsidRPr="00983C95" w:rsidRDefault="00983C95" w:rsidP="00983C95">
      <w:pPr>
        <w:spacing w:after="240" w:line="240" w:lineRule="auto"/>
        <w:jc w:val="both"/>
        <w:rPr>
          <w:rFonts w:ascii="Söhne" w:eastAsia="SimSun" w:hAnsi="Söhne" w:cs="Times New Roman"/>
          <w:strike/>
          <w:sz w:val="18"/>
          <w:lang w:val="en-IE" w:bidi="en-US"/>
        </w:rPr>
      </w:pPr>
      <w:r w:rsidRPr="00983C95">
        <w:rPr>
          <w:rFonts w:ascii="Söhne" w:eastAsia="SimSun" w:hAnsi="Söhne" w:cs="Times New Roman"/>
          <w:smallCaps/>
          <w:strike/>
          <w:sz w:val="18"/>
          <w:lang w:val="en-IE" w:bidi="en-US"/>
        </w:rPr>
        <w:t>Wei Y.W., Fan D.D. &amp; Chen J.</w:t>
      </w:r>
      <w:r w:rsidRPr="00983C95">
        <w:rPr>
          <w:rFonts w:ascii="Söhne" w:eastAsia="SimSun" w:hAnsi="Söhne" w:cs="Times New Roman"/>
          <w:strike/>
          <w:sz w:val="18"/>
          <w:lang w:val="en-IE" w:bidi="en-US"/>
        </w:rPr>
        <w:t xml:space="preserve"> (2017). The mussel </w:t>
      </w:r>
      <w:r w:rsidRPr="00983C95">
        <w:rPr>
          <w:rFonts w:ascii="Söhne" w:eastAsia="SimSun" w:hAnsi="Söhne" w:cs="Times New Roman"/>
          <w:i/>
          <w:strike/>
          <w:sz w:val="18"/>
          <w:lang w:val="en-IE" w:bidi="en-US"/>
        </w:rPr>
        <w:t>Mytilus edulis</w:t>
      </w:r>
      <w:r w:rsidRPr="00983C95">
        <w:rPr>
          <w:rFonts w:ascii="Söhne" w:eastAsia="SimSun" w:hAnsi="Söhne" w:cs="Times New Roman"/>
          <w:strike/>
          <w:sz w:val="18"/>
          <w:lang w:val="en-IE" w:bidi="en-US"/>
        </w:rPr>
        <w:t xml:space="preserve"> L. as an important reservoir of infectious hypodermal and hematopoietic necrosis virus (IHHNV). </w:t>
      </w:r>
      <w:r w:rsidRPr="00983C95">
        <w:rPr>
          <w:rFonts w:ascii="Söhne" w:eastAsia="SimSun" w:hAnsi="Söhne" w:cs="Times New Roman"/>
          <w:i/>
          <w:strike/>
          <w:sz w:val="18"/>
          <w:lang w:val="en-IE" w:bidi="en-US"/>
        </w:rPr>
        <w:t>Aquaculture Res.,</w:t>
      </w:r>
      <w:r w:rsidRPr="00983C95">
        <w:rPr>
          <w:rFonts w:ascii="Söhne" w:eastAsia="SimSun" w:hAnsi="Söhne" w:cs="Times New Roman"/>
          <w:strike/>
          <w:sz w:val="18"/>
          <w:lang w:val="en-IE" w:bidi="en-US"/>
        </w:rPr>
        <w:t xml:space="preserve"> </w:t>
      </w:r>
      <w:r w:rsidRPr="00983C95">
        <w:rPr>
          <w:rFonts w:ascii="Söhne" w:eastAsia="SimSun" w:hAnsi="Söhne" w:cs="Times New Roman"/>
          <w:b/>
          <w:strike/>
          <w:sz w:val="18"/>
          <w:lang w:val="en-IE" w:bidi="en-US"/>
        </w:rPr>
        <w:t>48</w:t>
      </w:r>
      <w:r w:rsidRPr="00983C95">
        <w:rPr>
          <w:rFonts w:ascii="Söhne" w:eastAsia="SimSun" w:hAnsi="Söhne" w:cs="Times New Roman"/>
          <w:strike/>
          <w:sz w:val="18"/>
          <w:lang w:val="en-IE" w:bidi="en-US"/>
        </w:rPr>
        <w:t>, 1346–1350.</w:t>
      </w:r>
    </w:p>
    <w:p w14:paraId="74E7EA4C" w14:textId="77777777" w:rsidR="00983C95" w:rsidRPr="00983C95" w:rsidRDefault="00983C95" w:rsidP="00983C95">
      <w:pPr>
        <w:spacing w:after="240" w:line="240" w:lineRule="auto"/>
        <w:jc w:val="both"/>
        <w:rPr>
          <w:rFonts w:ascii="Söhne" w:eastAsia="SimSun" w:hAnsi="Söhne" w:cs="Times New Roman"/>
          <w:sz w:val="18"/>
          <w:lang w:val="en-IE" w:bidi="en-US"/>
        </w:rPr>
      </w:pPr>
      <w:r w:rsidRPr="00983C95">
        <w:rPr>
          <w:rFonts w:ascii="Söhne" w:eastAsia="SimSun" w:hAnsi="Söhne" w:cs="Times New Roman"/>
          <w:smallCaps/>
          <w:sz w:val="18"/>
          <w:lang w:val="en-IE" w:bidi="en-US"/>
        </w:rPr>
        <w:t>Xia X.X., Yu Y.X., Hu L.H., Manfred W. &amp; Pan Y.J.</w:t>
      </w:r>
      <w:r w:rsidRPr="00983C95">
        <w:rPr>
          <w:rFonts w:ascii="Söhne" w:eastAsia="SimSun" w:hAnsi="Söhne" w:cs="Times New Roman"/>
          <w:sz w:val="18"/>
          <w:lang w:val="en-IE" w:bidi="en-US"/>
        </w:rPr>
        <w:t xml:space="preserve"> (2015). Rapid detection of infectious hypodermal and hematopoietic necrosis virus (IHHNV) by real-time, isothermal recombinase polymerase amplification assay. </w:t>
      </w:r>
      <w:r w:rsidRPr="00983C95">
        <w:rPr>
          <w:rFonts w:ascii="Söhne" w:eastAsia="SimSun" w:hAnsi="Söhne" w:cs="Times New Roman"/>
          <w:i/>
          <w:sz w:val="18"/>
          <w:lang w:val="en-IE" w:bidi="en-US"/>
        </w:rPr>
        <w:t>Arch. Virol.,</w:t>
      </w:r>
      <w:r w:rsidRPr="00983C95">
        <w:rPr>
          <w:rFonts w:ascii="Söhne" w:eastAsia="SimSun" w:hAnsi="Söhne" w:cs="Times New Roman"/>
          <w:sz w:val="18"/>
          <w:lang w:val="en-IE" w:bidi="en-US"/>
        </w:rPr>
        <w:t xml:space="preserve"> </w:t>
      </w:r>
      <w:r w:rsidRPr="00983C95">
        <w:rPr>
          <w:rFonts w:ascii="Söhne" w:eastAsia="SimSun" w:hAnsi="Söhne" w:cs="Times New Roman"/>
          <w:b/>
          <w:sz w:val="18"/>
          <w:lang w:val="en-IE" w:bidi="en-US"/>
        </w:rPr>
        <w:t>160</w:t>
      </w:r>
      <w:r w:rsidRPr="00983C95">
        <w:rPr>
          <w:rFonts w:ascii="Söhne" w:eastAsia="SimSun" w:hAnsi="Söhne" w:cs="Times New Roman"/>
          <w:sz w:val="18"/>
          <w:lang w:val="en-IE" w:bidi="en-US"/>
        </w:rPr>
        <w:t>, 987–994.</w:t>
      </w:r>
    </w:p>
    <w:p w14:paraId="001449DE" w14:textId="77777777" w:rsidR="00983C95" w:rsidRPr="00983C95" w:rsidRDefault="00983C95" w:rsidP="00983C95">
      <w:pPr>
        <w:spacing w:after="200" w:line="240" w:lineRule="auto"/>
        <w:jc w:val="center"/>
        <w:rPr>
          <w:rFonts w:ascii="Söhne" w:eastAsia="Times New Roman" w:hAnsi="Söhne" w:cs="Arial"/>
          <w:sz w:val="18"/>
          <w:szCs w:val="18"/>
          <w:lang w:val="en-IE" w:bidi="en-US"/>
        </w:rPr>
      </w:pPr>
      <w:r w:rsidRPr="00983C95">
        <w:rPr>
          <w:rFonts w:ascii="Söhne" w:eastAsia="Times New Roman" w:hAnsi="Söhne" w:cs="Times New Roman"/>
          <w:sz w:val="18"/>
          <w:szCs w:val="18"/>
          <w:lang w:val="en-IE" w:bidi="en-US"/>
        </w:rPr>
        <w:t>*</w:t>
      </w:r>
      <w:r w:rsidRPr="00983C95">
        <w:rPr>
          <w:rFonts w:ascii="Söhne" w:eastAsia="Times New Roman" w:hAnsi="Söhne" w:cs="Arial"/>
          <w:sz w:val="18"/>
          <w:szCs w:val="18"/>
          <w:lang w:val="en-IE" w:bidi="en-US"/>
        </w:rPr>
        <w:br/>
        <w:t>*   *</w:t>
      </w:r>
    </w:p>
    <w:p w14:paraId="25627EA0" w14:textId="77777777" w:rsidR="00983C95" w:rsidRPr="00983C95" w:rsidRDefault="00983C95" w:rsidP="00983C95">
      <w:pPr>
        <w:spacing w:before="120" w:after="240"/>
        <w:jc w:val="center"/>
        <w:rPr>
          <w:rFonts w:ascii="Söhne" w:eastAsia="Calibri" w:hAnsi="Söhne" w:cs="Arial"/>
          <w:sz w:val="18"/>
          <w:szCs w:val="18"/>
        </w:rPr>
      </w:pPr>
      <w:r w:rsidRPr="00983C95">
        <w:rPr>
          <w:rFonts w:ascii="Söhne" w:eastAsia="Calibri" w:hAnsi="Söhne" w:cs="Arial"/>
          <w:b/>
          <w:sz w:val="18"/>
          <w:szCs w:val="18"/>
        </w:rPr>
        <w:t>NB:</w:t>
      </w:r>
      <w:r w:rsidRPr="00983C95">
        <w:rPr>
          <w:rFonts w:ascii="Söhne" w:eastAsia="Calibri" w:hAnsi="Söhne" w:cs="Arial"/>
          <w:sz w:val="18"/>
          <w:szCs w:val="18"/>
        </w:rPr>
        <w:t xml:space="preserve"> There are WOAH Reference Laboratories for infection with infectious hypodermal and haematopoietic necrosis</w:t>
      </w:r>
      <w:r w:rsidRPr="00983C95">
        <w:rPr>
          <w:rFonts w:ascii="Söhne" w:eastAsia="Calibri" w:hAnsi="Söhne" w:cs="Arial"/>
          <w:iCs/>
          <w:sz w:val="18"/>
          <w:szCs w:val="18"/>
        </w:rPr>
        <w:t xml:space="preserve"> virus </w:t>
      </w:r>
      <w:r w:rsidRPr="00983C95">
        <w:rPr>
          <w:rFonts w:ascii="Söhne" w:eastAsia="Calibri" w:hAnsi="Söhne" w:cs="Arial"/>
          <w:sz w:val="18"/>
          <w:szCs w:val="18"/>
        </w:rPr>
        <w:t xml:space="preserve">(please consult the WOAH web site for the most up-to-date list: </w:t>
      </w:r>
      <w:r w:rsidRPr="00983C95">
        <w:rPr>
          <w:rFonts w:ascii="Söhne" w:eastAsia="Calibri" w:hAnsi="Söhne" w:cs="Arial"/>
          <w:sz w:val="18"/>
          <w:szCs w:val="18"/>
        </w:rPr>
        <w:br/>
      </w:r>
      <w:r w:rsidRPr="00983C95">
        <w:rPr>
          <w:rFonts w:ascii="Söhne" w:eastAsia="Calibri" w:hAnsi="Söhne" w:cs="Arial"/>
          <w:color w:val="0563C1"/>
          <w:sz w:val="18"/>
          <w:szCs w:val="18"/>
          <w:u w:val="single"/>
        </w:rPr>
        <w:t>http://www.woah.org/en/scientific-expertise/reference-laboratories/list-of-laboratories/</w:t>
      </w:r>
      <w:r w:rsidRPr="00983C95">
        <w:rPr>
          <w:rFonts w:ascii="Söhne" w:eastAsia="Calibri" w:hAnsi="Söhne" w:cs="Arial"/>
          <w:sz w:val="18"/>
          <w:szCs w:val="18"/>
          <w:lang w:val="en-GB" w:eastAsia="fr-FR"/>
        </w:rPr>
        <w:t xml:space="preserve"> ). </w:t>
      </w:r>
      <w:r w:rsidRPr="00983C95">
        <w:rPr>
          <w:rFonts w:ascii="Söhne" w:eastAsia="Calibri" w:hAnsi="Söhne" w:cs="Arial"/>
          <w:sz w:val="18"/>
          <w:szCs w:val="18"/>
          <w:lang w:val="en-GB" w:eastAsia="fr-FR"/>
        </w:rPr>
        <w:br/>
      </w:r>
      <w:r w:rsidRPr="00983C95">
        <w:rPr>
          <w:rFonts w:ascii="Söhne" w:eastAsia="Calibri" w:hAnsi="Söhne" w:cs="Arial"/>
          <w:sz w:val="18"/>
          <w:szCs w:val="18"/>
        </w:rPr>
        <w:t xml:space="preserve">Please contact the WOAH Reference Laboratories for any further information on </w:t>
      </w:r>
      <w:r w:rsidRPr="00983C95">
        <w:rPr>
          <w:rFonts w:ascii="Söhne" w:eastAsia="Calibri" w:hAnsi="Söhne" w:cs="Arial"/>
          <w:sz w:val="18"/>
          <w:szCs w:val="18"/>
        </w:rPr>
        <w:br/>
        <w:t xml:space="preserve">infection with infectious hypodermal and haematopoietic necrosis </w:t>
      </w:r>
      <w:r w:rsidRPr="00983C95">
        <w:rPr>
          <w:rFonts w:ascii="Söhne" w:eastAsia="Calibri" w:hAnsi="Söhne" w:cs="Arial"/>
          <w:iCs/>
          <w:sz w:val="18"/>
          <w:szCs w:val="18"/>
        </w:rPr>
        <w:t>virus</w:t>
      </w:r>
    </w:p>
    <w:p w14:paraId="4EA083B6" w14:textId="77777777" w:rsidR="00983C95" w:rsidRPr="00983C95" w:rsidRDefault="00983C95" w:rsidP="00983C95">
      <w:pPr>
        <w:spacing w:after="240"/>
        <w:jc w:val="center"/>
        <w:rPr>
          <w:rFonts w:ascii="Arial" w:eastAsia="Arial" w:hAnsi="Arial" w:cs="Arial"/>
          <w:sz w:val="18"/>
          <w:szCs w:val="18"/>
          <w:lang w:val="en-GB" w:bidi="en-US"/>
        </w:rPr>
      </w:pPr>
      <w:r w:rsidRPr="00983C95">
        <w:rPr>
          <w:rFonts w:ascii="Söhne" w:eastAsia="Calibri" w:hAnsi="Söhne" w:cs="Arial"/>
          <w:b/>
          <w:smallCaps/>
          <w:sz w:val="18"/>
          <w:szCs w:val="18"/>
        </w:rPr>
        <w:t>NB:</w:t>
      </w:r>
      <w:r w:rsidRPr="00983C95">
        <w:rPr>
          <w:rFonts w:ascii="Söhne" w:eastAsia="Calibri" w:hAnsi="Söhne" w:cs="Arial"/>
          <w:smallCaps/>
          <w:sz w:val="18"/>
          <w:szCs w:val="18"/>
        </w:rPr>
        <w:t xml:space="preserve"> First adopted in 1995 as infectious hypodermal and haematopoietic necrosis; </w:t>
      </w:r>
      <w:r w:rsidRPr="00983C95">
        <w:rPr>
          <w:rFonts w:ascii="Söhne" w:eastAsia="Calibri" w:hAnsi="Söhne" w:cs="Arial"/>
          <w:smallCaps/>
          <w:sz w:val="18"/>
          <w:szCs w:val="18"/>
        </w:rPr>
        <w:br/>
        <w:t>Most recent updates adopted in 2018.</w:t>
      </w:r>
    </w:p>
    <w:p w14:paraId="07538BEB" w14:textId="2B2B6773" w:rsidR="00983C95" w:rsidRDefault="00983C95"/>
    <w:p w14:paraId="3B2C7FA5" w14:textId="3529A0C1" w:rsidR="00983C95" w:rsidRDefault="00983C95"/>
    <w:p w14:paraId="1908CE5A" w14:textId="01E11C0E" w:rsidR="00983C95" w:rsidRDefault="00983C95"/>
    <w:p w14:paraId="33FDF1E5" w14:textId="3035A97F" w:rsidR="00983C95" w:rsidRDefault="00983C95"/>
    <w:p w14:paraId="15B44CAC" w14:textId="77777777" w:rsidR="00983C95" w:rsidRDefault="00983C95"/>
    <w:sectPr w:rsidR="00983C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0A90A" w14:textId="77777777" w:rsidR="00983C95" w:rsidRDefault="00983C95" w:rsidP="00983C95">
      <w:pPr>
        <w:spacing w:after="0" w:line="240" w:lineRule="auto"/>
      </w:pPr>
      <w:r>
        <w:separator/>
      </w:r>
    </w:p>
  </w:endnote>
  <w:endnote w:type="continuationSeparator" w:id="0">
    <w:p w14:paraId="3A2050F6" w14:textId="77777777" w:rsidR="00983C95" w:rsidRDefault="00983C95" w:rsidP="0098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angSong">
    <w:charset w:val="86"/>
    <w:family w:val="modern"/>
    <w:pitch w:val="fixed"/>
    <w:sig w:usb0="800002BF" w:usb1="38CF7CFA" w:usb2="00000016" w:usb3="00000000" w:csb0="0004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00"/>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983C95" w:rsidRPr="00752D68" w14:paraId="50D6772F" w14:textId="77777777">
      <w:trPr>
        <w:trHeight w:val="58"/>
        <w:jc w:val="center"/>
      </w:trPr>
      <w:tc>
        <w:tcPr>
          <w:tcW w:w="7939" w:type="dxa"/>
          <w:tcBorders>
            <w:right w:val="nil"/>
          </w:tcBorders>
        </w:tcPr>
        <w:p w14:paraId="355220CD" w14:textId="77777777" w:rsidR="00983C95" w:rsidRPr="003D0593" w:rsidRDefault="00983C95">
          <w:pPr>
            <w:spacing w:after="240"/>
            <w:jc w:val="center"/>
            <w:rPr>
              <w:rFonts w:ascii="Franklin Gothic Demi Cond" w:hAnsi="Franklin Gothic Demi Cond"/>
              <w:color w:val="FF4815"/>
              <w:sz w:val="28"/>
              <w:szCs w:val="28"/>
            </w:rPr>
          </w:pPr>
        </w:p>
      </w:tc>
      <w:tc>
        <w:tcPr>
          <w:tcW w:w="6945" w:type="dxa"/>
          <w:tcBorders>
            <w:top w:val="nil"/>
            <w:left w:val="nil"/>
          </w:tcBorders>
        </w:tcPr>
        <w:p w14:paraId="2AC13336" w14:textId="77777777" w:rsidR="00983C95" w:rsidRPr="00752D68" w:rsidRDefault="00983C95">
          <w:pPr>
            <w:spacing w:after="240" w:line="259" w:lineRule="auto"/>
            <w:jc w:val="right"/>
            <w:rPr>
              <w:rFonts w:cs="Arial"/>
              <w:lang w:val="en-GB"/>
            </w:rPr>
          </w:pPr>
        </w:p>
      </w:tc>
    </w:tr>
  </w:tbl>
  <w:p w14:paraId="4EA71460" w14:textId="77777777" w:rsidR="00983C95" w:rsidRDefault="00983C95">
    <w:pPr>
      <w:pStyle w:val="Header"/>
    </w:pPr>
  </w:p>
  <w:p w14:paraId="7AC57998" w14:textId="77777777" w:rsidR="00983C95" w:rsidRPr="00F67BCC" w:rsidRDefault="00983C95">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42265" w14:textId="77777777" w:rsidR="00983C95" w:rsidRDefault="00983C95" w:rsidP="00983C95">
      <w:pPr>
        <w:spacing w:after="0" w:line="240" w:lineRule="auto"/>
      </w:pPr>
      <w:r>
        <w:separator/>
      </w:r>
    </w:p>
  </w:footnote>
  <w:footnote w:type="continuationSeparator" w:id="0">
    <w:p w14:paraId="60A221D7" w14:textId="77777777" w:rsidR="00983C95" w:rsidRDefault="00983C95" w:rsidP="00983C95">
      <w:pPr>
        <w:spacing w:after="0" w:line="240" w:lineRule="auto"/>
      </w:pPr>
      <w:r>
        <w:continuationSeparator/>
      </w:r>
    </w:p>
  </w:footnote>
  <w:footnote w:id="1">
    <w:p w14:paraId="7EE9BE72" w14:textId="77777777" w:rsidR="00983C95" w:rsidRPr="00D11BD9" w:rsidRDefault="00983C95" w:rsidP="00983C95">
      <w:pPr>
        <w:pStyle w:val="FootnoteText"/>
        <w:ind w:left="425" w:hanging="425"/>
        <w:rPr>
          <w:rFonts w:ascii="Söhne" w:hAnsi="Söhne" w:cs="Arial"/>
          <w:sz w:val="16"/>
          <w:szCs w:val="16"/>
          <w:lang w:val="en-GB"/>
        </w:rPr>
      </w:pPr>
      <w:r w:rsidRPr="00D17F7A">
        <w:rPr>
          <w:rStyle w:val="FootnoteReference"/>
          <w:rFonts w:ascii="Söhne" w:hAnsi="Söhne" w:cs="Arial"/>
          <w:sz w:val="16"/>
          <w:szCs w:val="16"/>
        </w:rPr>
        <w:footnoteRef/>
      </w:r>
      <w:r w:rsidRPr="00D17F7A">
        <w:rPr>
          <w:rFonts w:ascii="Söhne" w:hAnsi="Söhne" w:cs="Arial"/>
          <w:sz w:val="16"/>
          <w:szCs w:val="16"/>
          <w:lang w:val="en-GB"/>
        </w:rPr>
        <w:t xml:space="preserve"> </w:t>
      </w:r>
      <w:r w:rsidRPr="00D11BD9">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19BE" w14:textId="77777777" w:rsidR="00983C95" w:rsidRPr="00C4589D" w:rsidRDefault="00983C95">
    <w:pPr>
      <w:pStyle w:val="Head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00"/>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983C95" w:rsidRPr="00752D68" w14:paraId="5C2704F2" w14:textId="77777777">
      <w:trPr>
        <w:trHeight w:val="58"/>
        <w:jc w:val="center"/>
      </w:trPr>
      <w:tc>
        <w:tcPr>
          <w:tcW w:w="7939" w:type="dxa"/>
          <w:tcBorders>
            <w:right w:val="nil"/>
          </w:tcBorders>
        </w:tcPr>
        <w:p w14:paraId="79714A66" w14:textId="77777777" w:rsidR="00983C95" w:rsidRPr="003D0593" w:rsidRDefault="00983C95">
          <w:pPr>
            <w:spacing w:after="240"/>
            <w:jc w:val="center"/>
            <w:rPr>
              <w:rFonts w:ascii="Franklin Gothic Demi Cond" w:hAnsi="Franklin Gothic Demi Cond"/>
              <w:color w:val="FF4815"/>
              <w:sz w:val="28"/>
              <w:szCs w:val="28"/>
            </w:rPr>
          </w:pPr>
          <w:bookmarkStart w:id="2" w:name="_Hlk118300642"/>
        </w:p>
      </w:tc>
      <w:tc>
        <w:tcPr>
          <w:tcW w:w="2835" w:type="dxa"/>
          <w:tcBorders>
            <w:top w:val="nil"/>
            <w:left w:val="nil"/>
          </w:tcBorders>
        </w:tcPr>
        <w:p w14:paraId="0A403467" w14:textId="77777777" w:rsidR="00983C95" w:rsidRPr="00752D68" w:rsidRDefault="00983C95">
          <w:pPr>
            <w:spacing w:after="240" w:line="259" w:lineRule="auto"/>
            <w:jc w:val="right"/>
            <w:rPr>
              <w:rFonts w:cs="Arial"/>
              <w:lang w:val="en-GB"/>
            </w:rPr>
          </w:pPr>
        </w:p>
      </w:tc>
    </w:tr>
    <w:bookmarkEnd w:id="2"/>
  </w:tbl>
  <w:p w14:paraId="5FF59439" w14:textId="77777777" w:rsidR="00983C95" w:rsidRPr="00831876" w:rsidRDefault="00983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0CB34C9"/>
    <w:multiLevelType w:val="hybridMultilevel"/>
    <w:tmpl w:val="D742ADE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4"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5"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6"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7"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3"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76053579">
    <w:abstractNumId w:val="42"/>
  </w:num>
  <w:num w:numId="2" w16cid:durableId="729694560">
    <w:abstractNumId w:val="38"/>
  </w:num>
  <w:num w:numId="3" w16cid:durableId="1141460852">
    <w:abstractNumId w:val="41"/>
  </w:num>
  <w:num w:numId="4" w16cid:durableId="1678846841">
    <w:abstractNumId w:val="24"/>
  </w:num>
  <w:num w:numId="5" w16cid:durableId="2090224856">
    <w:abstractNumId w:val="44"/>
  </w:num>
  <w:num w:numId="6" w16cid:durableId="1158156669">
    <w:abstractNumId w:val="49"/>
  </w:num>
  <w:num w:numId="7" w16cid:durableId="739136522">
    <w:abstractNumId w:val="16"/>
  </w:num>
  <w:num w:numId="8" w16cid:durableId="1289704300">
    <w:abstractNumId w:val="4"/>
  </w:num>
  <w:num w:numId="9" w16cid:durableId="218713212">
    <w:abstractNumId w:val="20"/>
  </w:num>
  <w:num w:numId="10" w16cid:durableId="1913738712">
    <w:abstractNumId w:val="31"/>
  </w:num>
  <w:num w:numId="11" w16cid:durableId="2066374544">
    <w:abstractNumId w:val="73"/>
  </w:num>
  <w:num w:numId="12" w16cid:durableId="1893347095">
    <w:abstractNumId w:val="59"/>
  </w:num>
  <w:num w:numId="13" w16cid:durableId="1385566538">
    <w:abstractNumId w:val="70"/>
  </w:num>
  <w:num w:numId="14" w16cid:durableId="2068146810">
    <w:abstractNumId w:val="10"/>
  </w:num>
  <w:num w:numId="15" w16cid:durableId="320542463">
    <w:abstractNumId w:val="28"/>
  </w:num>
  <w:num w:numId="16" w16cid:durableId="1496913364">
    <w:abstractNumId w:val="54"/>
  </w:num>
  <w:num w:numId="17" w16cid:durableId="655189034">
    <w:abstractNumId w:val="25"/>
  </w:num>
  <w:num w:numId="18" w16cid:durableId="1996376237">
    <w:abstractNumId w:val="50"/>
  </w:num>
  <w:num w:numId="19" w16cid:durableId="1238172642">
    <w:abstractNumId w:val="22"/>
  </w:num>
  <w:num w:numId="20" w16cid:durableId="648825213">
    <w:abstractNumId w:val="29"/>
  </w:num>
  <w:num w:numId="21" w16cid:durableId="2069986083">
    <w:abstractNumId w:val="68"/>
  </w:num>
  <w:num w:numId="22" w16cid:durableId="927228983">
    <w:abstractNumId w:val="61"/>
  </w:num>
  <w:num w:numId="23" w16cid:durableId="1424373680">
    <w:abstractNumId w:val="23"/>
  </w:num>
  <w:num w:numId="24" w16cid:durableId="309025086">
    <w:abstractNumId w:val="11"/>
  </w:num>
  <w:num w:numId="25" w16cid:durableId="1462069595">
    <w:abstractNumId w:val="9"/>
  </w:num>
  <w:num w:numId="26" w16cid:durableId="489952264">
    <w:abstractNumId w:val="17"/>
  </w:num>
  <w:num w:numId="27" w16cid:durableId="505166963">
    <w:abstractNumId w:val="39"/>
  </w:num>
  <w:num w:numId="28" w16cid:durableId="1067799897">
    <w:abstractNumId w:val="27"/>
  </w:num>
  <w:num w:numId="29" w16cid:durableId="199779546">
    <w:abstractNumId w:val="46"/>
  </w:num>
  <w:num w:numId="30" w16cid:durableId="1043600527">
    <w:abstractNumId w:val="18"/>
  </w:num>
  <w:num w:numId="31" w16cid:durableId="1532188259">
    <w:abstractNumId w:val="51"/>
  </w:num>
  <w:num w:numId="32" w16cid:durableId="1307007681">
    <w:abstractNumId w:val="32"/>
  </w:num>
  <w:num w:numId="33" w16cid:durableId="1736318454">
    <w:abstractNumId w:val="71"/>
  </w:num>
  <w:num w:numId="34" w16cid:durableId="344096290">
    <w:abstractNumId w:val="69"/>
  </w:num>
  <w:num w:numId="35" w16cid:durableId="813136913">
    <w:abstractNumId w:val="0"/>
  </w:num>
  <w:num w:numId="36" w16cid:durableId="2055305129">
    <w:abstractNumId w:val="60"/>
  </w:num>
  <w:num w:numId="37" w16cid:durableId="1714501364">
    <w:abstractNumId w:val="12"/>
  </w:num>
  <w:num w:numId="38" w16cid:durableId="2025201172">
    <w:abstractNumId w:val="5"/>
  </w:num>
  <w:num w:numId="39" w16cid:durableId="180124459">
    <w:abstractNumId w:val="30"/>
  </w:num>
  <w:num w:numId="40" w16cid:durableId="1857964866">
    <w:abstractNumId w:val="26"/>
  </w:num>
  <w:num w:numId="41" w16cid:durableId="2017266040">
    <w:abstractNumId w:val="43"/>
  </w:num>
  <w:num w:numId="42" w16cid:durableId="78329923">
    <w:abstractNumId w:val="58"/>
  </w:num>
  <w:num w:numId="43" w16cid:durableId="471750594">
    <w:abstractNumId w:val="48"/>
  </w:num>
  <w:num w:numId="44" w16cid:durableId="1784617203">
    <w:abstractNumId w:val="37"/>
  </w:num>
  <w:num w:numId="45" w16cid:durableId="1181814575">
    <w:abstractNumId w:val="21"/>
  </w:num>
  <w:num w:numId="46" w16cid:durableId="1114785325">
    <w:abstractNumId w:val="66"/>
  </w:num>
  <w:num w:numId="47" w16cid:durableId="1704674902">
    <w:abstractNumId w:val="7"/>
  </w:num>
  <w:num w:numId="48" w16cid:durableId="546331210">
    <w:abstractNumId w:val="65"/>
  </w:num>
  <w:num w:numId="49" w16cid:durableId="222832771">
    <w:abstractNumId w:val="33"/>
  </w:num>
  <w:num w:numId="50" w16cid:durableId="1627003305">
    <w:abstractNumId w:val="53"/>
  </w:num>
  <w:num w:numId="51" w16cid:durableId="349140534">
    <w:abstractNumId w:val="3"/>
  </w:num>
  <w:num w:numId="52" w16cid:durableId="1248464900">
    <w:abstractNumId w:val="35"/>
  </w:num>
  <w:num w:numId="53" w16cid:durableId="425808948">
    <w:abstractNumId w:val="63"/>
  </w:num>
  <w:num w:numId="54" w16cid:durableId="471605121">
    <w:abstractNumId w:val="34"/>
  </w:num>
  <w:num w:numId="55" w16cid:durableId="1052192072">
    <w:abstractNumId w:val="52"/>
  </w:num>
  <w:num w:numId="56" w16cid:durableId="1737046152">
    <w:abstractNumId w:val="56"/>
  </w:num>
  <w:num w:numId="57" w16cid:durableId="1761682923">
    <w:abstractNumId w:val="45"/>
  </w:num>
  <w:num w:numId="58" w16cid:durableId="1546478056">
    <w:abstractNumId w:val="8"/>
  </w:num>
  <w:num w:numId="59" w16cid:durableId="1165780336">
    <w:abstractNumId w:val="64"/>
  </w:num>
  <w:num w:numId="60" w16cid:durableId="1469083065">
    <w:abstractNumId w:val="2"/>
  </w:num>
  <w:num w:numId="61" w16cid:durableId="519007105">
    <w:abstractNumId w:val="1"/>
  </w:num>
  <w:num w:numId="62" w16cid:durableId="207963035">
    <w:abstractNumId w:val="36"/>
  </w:num>
  <w:num w:numId="63" w16cid:durableId="1654530786">
    <w:abstractNumId w:val="6"/>
  </w:num>
  <w:num w:numId="64" w16cid:durableId="60955391">
    <w:abstractNumId w:val="19"/>
  </w:num>
  <w:num w:numId="65" w16cid:durableId="1860199159">
    <w:abstractNumId w:val="67"/>
  </w:num>
  <w:num w:numId="66" w16cid:durableId="1744133505">
    <w:abstractNumId w:val="72"/>
  </w:num>
  <w:num w:numId="67" w16cid:durableId="1635331235">
    <w:abstractNumId w:val="62"/>
  </w:num>
  <w:num w:numId="68" w16cid:durableId="602881345">
    <w:abstractNumId w:val="15"/>
  </w:num>
  <w:num w:numId="69" w16cid:durableId="692001183">
    <w:abstractNumId w:val="47"/>
  </w:num>
  <w:num w:numId="70" w16cid:durableId="238948301">
    <w:abstractNumId w:val="13"/>
  </w:num>
  <w:num w:numId="71" w16cid:durableId="1855874060">
    <w:abstractNumId w:val="55"/>
  </w:num>
  <w:num w:numId="72" w16cid:durableId="1514958774">
    <w:abstractNumId w:val="40"/>
  </w:num>
  <w:num w:numId="73" w16cid:durableId="1731809296">
    <w:abstractNumId w:val="57"/>
  </w:num>
  <w:num w:numId="74" w16cid:durableId="1663701532">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95"/>
    <w:rsid w:val="0098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099F"/>
  <w15:chartTrackingRefBased/>
  <w15:docId w15:val="{81044400-7D6C-4B4E-94CE-0C0FDFBE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C95"/>
    <w:rPr>
      <w:lang w:val="en-CA"/>
    </w:rPr>
  </w:style>
  <w:style w:type="paragraph" w:styleId="Heading1">
    <w:name w:val="heading 1"/>
    <w:basedOn w:val="Normal"/>
    <w:next w:val="Normal"/>
    <w:link w:val="Heading1Char"/>
    <w:uiPriority w:val="9"/>
    <w:qFormat/>
    <w:rsid w:val="00983C95"/>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2"/>
    <w:uiPriority w:val="9"/>
    <w:unhideWhenUsed/>
    <w:qFormat/>
    <w:rsid w:val="00983C95"/>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3C95"/>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983C95"/>
    <w:pPr>
      <w:widowControl w:val="0"/>
      <w:numPr>
        <w:ilvl w:val="3"/>
        <w:numId w:val="28"/>
      </w:numPr>
      <w:autoSpaceDE w:val="0"/>
      <w:autoSpaceDN w:val="0"/>
      <w:spacing w:after="0" w:line="240" w:lineRule="auto"/>
      <w:jc w:val="center"/>
      <w:outlineLvl w:val="3"/>
    </w:pPr>
    <w:rPr>
      <w:rFonts w:ascii="Ottawa" w:eastAsia="Ottawa" w:hAnsi="Ottawa" w:cs="Ottawa"/>
      <w:sz w:val="19"/>
      <w:szCs w:val="19"/>
      <w:lang w:val="en-US" w:bidi="en-US"/>
    </w:rPr>
  </w:style>
  <w:style w:type="paragraph" w:styleId="Heading5">
    <w:name w:val="heading 5"/>
    <w:basedOn w:val="Normal"/>
    <w:link w:val="Heading5Char"/>
    <w:uiPriority w:val="9"/>
    <w:unhideWhenUsed/>
    <w:qFormat/>
    <w:rsid w:val="00983C95"/>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lang w:val="en-US"/>
    </w:rPr>
  </w:style>
  <w:style w:type="paragraph" w:styleId="Heading6">
    <w:name w:val="heading 6"/>
    <w:basedOn w:val="Normal"/>
    <w:next w:val="Normal"/>
    <w:link w:val="Heading6Char"/>
    <w:unhideWhenUsed/>
    <w:qFormat/>
    <w:rsid w:val="00983C95"/>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83C95"/>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983C95"/>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iPriority w:val="9"/>
    <w:unhideWhenUsed/>
    <w:qFormat/>
    <w:rsid w:val="00983C95"/>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title">
    <w:name w:val="Annex title"/>
    <w:basedOn w:val="Normal"/>
    <w:qFormat/>
    <w:rsid w:val="00983C95"/>
    <w:pPr>
      <w:keepNext/>
      <w:keepLines/>
      <w:spacing w:before="240" w:after="480" w:line="240" w:lineRule="auto"/>
      <w:jc w:val="center"/>
      <w:outlineLvl w:val="0"/>
    </w:pPr>
    <w:rPr>
      <w:rFonts w:ascii="Arial" w:eastAsia="Yu Gothic Light" w:hAnsi="Arial" w:cs="Arial"/>
      <w:b/>
      <w:bCs/>
      <w:iCs/>
      <w:sz w:val="18"/>
      <w:szCs w:val="18"/>
      <w:lang w:val="en-GB"/>
    </w:rPr>
  </w:style>
  <w:style w:type="character" w:customStyle="1" w:styleId="Heading1Char">
    <w:name w:val="Heading 1 Char"/>
    <w:basedOn w:val="DefaultParagraphFont"/>
    <w:link w:val="Heading1"/>
    <w:uiPriority w:val="9"/>
    <w:rsid w:val="00983C95"/>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983C95"/>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983C95"/>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983C95"/>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983C95"/>
    <w:rPr>
      <w:rFonts w:ascii="Ottawa" w:eastAsia="Ottawa" w:hAnsi="Ottawa" w:cs="Ottawa"/>
      <w:sz w:val="19"/>
      <w:szCs w:val="19"/>
    </w:rPr>
  </w:style>
  <w:style w:type="character" w:customStyle="1" w:styleId="Heading6Char">
    <w:name w:val="Heading 6 Char"/>
    <w:basedOn w:val="DefaultParagraphFont"/>
    <w:link w:val="Heading6"/>
    <w:rsid w:val="00983C95"/>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983C95"/>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983C95"/>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983C95"/>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983C95"/>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983C95"/>
  </w:style>
  <w:style w:type="numbering" w:customStyle="1" w:styleId="ImportedStyle58">
    <w:name w:val="Imported Style 58"/>
    <w:rsid w:val="00983C95"/>
    <w:pPr>
      <w:numPr>
        <w:numId w:val="1"/>
      </w:numPr>
    </w:pPr>
  </w:style>
  <w:style w:type="numbering" w:customStyle="1" w:styleId="ArticleSection254">
    <w:name w:val="Article / Section254"/>
    <w:basedOn w:val="NoList"/>
    <w:next w:val="NoList"/>
    <w:rsid w:val="00983C95"/>
    <w:pPr>
      <w:numPr>
        <w:numId w:val="2"/>
      </w:numPr>
    </w:pPr>
  </w:style>
  <w:style w:type="numbering" w:customStyle="1" w:styleId="List0154">
    <w:name w:val="List 0154"/>
    <w:basedOn w:val="NoList"/>
    <w:rsid w:val="00983C95"/>
  </w:style>
  <w:style w:type="numbering" w:customStyle="1" w:styleId="List1154">
    <w:name w:val="List 1154"/>
    <w:basedOn w:val="NoList"/>
    <w:rsid w:val="00983C95"/>
  </w:style>
  <w:style w:type="numbering" w:customStyle="1" w:styleId="List21154">
    <w:name w:val="List 21154"/>
    <w:basedOn w:val="NoList"/>
    <w:rsid w:val="00983C95"/>
  </w:style>
  <w:style w:type="paragraph" w:styleId="Revision">
    <w:name w:val="Revision"/>
    <w:hidden/>
    <w:uiPriority w:val="99"/>
    <w:semiHidden/>
    <w:rsid w:val="00983C95"/>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983C95"/>
    <w:rPr>
      <w:sz w:val="16"/>
      <w:szCs w:val="16"/>
    </w:rPr>
  </w:style>
  <w:style w:type="paragraph" w:styleId="CommentText">
    <w:name w:val="annotation text"/>
    <w:basedOn w:val="Normal"/>
    <w:link w:val="CommentTextChar"/>
    <w:uiPriority w:val="99"/>
    <w:unhideWhenUsed/>
    <w:rsid w:val="00983C95"/>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983C95"/>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983C95"/>
    <w:rPr>
      <w:b/>
      <w:bCs/>
    </w:rPr>
  </w:style>
  <w:style w:type="character" w:customStyle="1" w:styleId="CommentSubjectChar">
    <w:name w:val="Comment Subject Char"/>
    <w:basedOn w:val="CommentTextChar"/>
    <w:link w:val="CommentSubject"/>
    <w:uiPriority w:val="99"/>
    <w:rsid w:val="00983C95"/>
    <w:rPr>
      <w:rFonts w:ascii="Arial" w:hAnsi="Arial"/>
      <w:b/>
      <w:bCs/>
      <w:sz w:val="20"/>
      <w:szCs w:val="20"/>
      <w:lang w:val="fr-FR"/>
    </w:rPr>
  </w:style>
  <w:style w:type="numbering" w:customStyle="1" w:styleId="ArticleSection2324">
    <w:name w:val="Article / Section2324"/>
    <w:basedOn w:val="NoList"/>
    <w:next w:val="NoList"/>
    <w:rsid w:val="00983C95"/>
  </w:style>
  <w:style w:type="numbering" w:customStyle="1" w:styleId="ImportedStyle4624">
    <w:name w:val="Imported Style 4624"/>
    <w:rsid w:val="00983C95"/>
  </w:style>
  <w:style w:type="numbering" w:customStyle="1" w:styleId="ImportedStyle5624">
    <w:name w:val="Imported Style 5624"/>
    <w:rsid w:val="00983C95"/>
  </w:style>
  <w:style w:type="numbering" w:customStyle="1" w:styleId="ImportedStyle1624">
    <w:name w:val="Imported Style 1624"/>
    <w:rsid w:val="00983C95"/>
  </w:style>
  <w:style w:type="table" w:styleId="TableGrid">
    <w:name w:val="Table Grid"/>
    <w:basedOn w:val="TableNormal"/>
    <w:uiPriority w:val="59"/>
    <w:rsid w:val="00983C9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983C95"/>
  </w:style>
  <w:style w:type="character" w:styleId="FootnoteReference">
    <w:name w:val="footnote reference"/>
    <w:basedOn w:val="DefaultParagraphFont"/>
    <w:uiPriority w:val="99"/>
    <w:unhideWhenUsed/>
    <w:rsid w:val="00983C95"/>
    <w:rPr>
      <w:vertAlign w:val="superscript"/>
    </w:rPr>
  </w:style>
  <w:style w:type="paragraph" w:styleId="FootnoteText">
    <w:name w:val="footnote text"/>
    <w:basedOn w:val="Normal"/>
    <w:link w:val="FootnoteTextChar"/>
    <w:uiPriority w:val="99"/>
    <w:unhideWhenUsed/>
    <w:rsid w:val="00983C95"/>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983C95"/>
    <w:rPr>
      <w:rFonts w:ascii="Arial" w:hAnsi="Arial"/>
      <w:sz w:val="20"/>
      <w:szCs w:val="20"/>
      <w:lang w:val="fr-FR"/>
    </w:rPr>
  </w:style>
  <w:style w:type="table" w:customStyle="1" w:styleId="TableGrid19">
    <w:name w:val="Table Grid19"/>
    <w:basedOn w:val="TableNormal"/>
    <w:next w:val="TableGrid"/>
    <w:uiPriority w:val="59"/>
    <w:rsid w:val="00983C95"/>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983C95"/>
  </w:style>
  <w:style w:type="paragraph" w:customStyle="1" w:styleId="paragraph">
    <w:name w:val="paragraph"/>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983C95"/>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983C95"/>
  </w:style>
  <w:style w:type="paragraph" w:styleId="BodyText">
    <w:name w:val="Body Text"/>
    <w:basedOn w:val="Normal"/>
    <w:link w:val="BodyTextChar"/>
    <w:uiPriority w:val="99"/>
    <w:qFormat/>
    <w:rsid w:val="00983C9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983C95"/>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983C95"/>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83C9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83C95"/>
    <w:rPr>
      <w:lang w:val="en-GB"/>
    </w:rPr>
  </w:style>
  <w:style w:type="paragraph" w:styleId="Footer">
    <w:name w:val="footer"/>
    <w:aliases w:val=" Car Car Car Car Car, Car Car Car Car,Car Car Car Car Car,Car Car Car Car,WOAH Footer"/>
    <w:basedOn w:val="Normal"/>
    <w:link w:val="FooterChar"/>
    <w:uiPriority w:val="99"/>
    <w:unhideWhenUsed/>
    <w:rsid w:val="00983C95"/>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983C95"/>
    <w:rPr>
      <w:lang w:val="en-GB"/>
    </w:rPr>
  </w:style>
  <w:style w:type="character" w:styleId="Hyperlink">
    <w:name w:val="Hyperlink"/>
    <w:basedOn w:val="DefaultParagraphFont"/>
    <w:uiPriority w:val="99"/>
    <w:unhideWhenUsed/>
    <w:rsid w:val="00983C95"/>
    <w:rPr>
      <w:color w:val="0563C1" w:themeColor="hyperlink"/>
      <w:u w:val="single"/>
    </w:rPr>
  </w:style>
  <w:style w:type="paragraph" w:customStyle="1" w:styleId="Chapternumber">
    <w:name w:val="Chapter number"/>
    <w:qFormat/>
    <w:rsid w:val="00983C95"/>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983C95"/>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983C95"/>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983C95"/>
    <w:pPr>
      <w:spacing w:after="240"/>
      <w:jc w:val="both"/>
    </w:pPr>
    <w:rPr>
      <w:rFonts w:ascii="Söhne" w:eastAsia="Arial" w:hAnsi="Söhne" w:cs="Arial"/>
      <w:sz w:val="18"/>
      <w:szCs w:val="18"/>
      <w:lang w:val="en-GB" w:bidi="en-US"/>
    </w:rPr>
  </w:style>
  <w:style w:type="paragraph" w:customStyle="1" w:styleId="Articlesubtitle">
    <w:name w:val="Article subtitle"/>
    <w:qFormat/>
    <w:rsid w:val="00983C95"/>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983C95"/>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983C95"/>
    <w:pPr>
      <w:pBdr>
        <w:top w:val="single" w:sz="4" w:space="1" w:color="auto"/>
      </w:pBdr>
      <w:spacing w:after="240" w:line="240" w:lineRule="auto"/>
      <w:ind w:left="3402" w:right="3402"/>
      <w:jc w:val="both"/>
    </w:pPr>
    <w:rPr>
      <w:rFonts w:ascii="Söhne" w:hAnsi="Söhne" w:cs="Arial"/>
      <w:sz w:val="18"/>
      <w:szCs w:val="18"/>
      <w:lang w:val="en-US"/>
    </w:rPr>
  </w:style>
  <w:style w:type="paragraph" w:customStyle="1" w:styleId="WOAHArticleText">
    <w:name w:val="WOAH_Article Text"/>
    <w:basedOn w:val="Normal"/>
    <w:qFormat/>
    <w:rsid w:val="00983C95"/>
    <w:pPr>
      <w:spacing w:after="240" w:line="240" w:lineRule="auto"/>
      <w:jc w:val="both"/>
    </w:pPr>
    <w:rPr>
      <w:rFonts w:ascii="Söhne" w:hAnsi="Söhne" w:cs="Arial"/>
      <w:sz w:val="18"/>
      <w:szCs w:val="18"/>
      <w:lang w:val="en-US"/>
    </w:rPr>
  </w:style>
  <w:style w:type="paragraph" w:customStyle="1" w:styleId="WOAHListNumberedPara">
    <w:name w:val="WOAH_List_Numbered_Para"/>
    <w:basedOn w:val="Normal"/>
    <w:qFormat/>
    <w:rsid w:val="00983C95"/>
    <w:pPr>
      <w:spacing w:after="240" w:line="240" w:lineRule="auto"/>
      <w:ind w:left="426" w:hanging="426"/>
      <w:jc w:val="both"/>
    </w:pPr>
    <w:rPr>
      <w:rFonts w:ascii="Söhne" w:hAnsi="Söhne" w:cs="Arial"/>
      <w:sz w:val="18"/>
      <w:szCs w:val="18"/>
      <w:lang w:val="en-US"/>
    </w:rPr>
  </w:style>
  <w:style w:type="paragraph" w:customStyle="1" w:styleId="myfirststyle">
    <w:name w:val="my first style"/>
    <w:basedOn w:val="Heading8"/>
    <w:link w:val="myfirststyleChar"/>
    <w:qFormat/>
    <w:rsid w:val="00983C95"/>
  </w:style>
  <w:style w:type="character" w:customStyle="1" w:styleId="myfirststyleChar">
    <w:name w:val="my first style Char"/>
    <w:basedOn w:val="Heading8Char"/>
    <w:link w:val="myfirststyle"/>
    <w:rsid w:val="00983C95"/>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983C95"/>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983C95"/>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983C95"/>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983C95"/>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983C95"/>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983C95"/>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983C95"/>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983C95"/>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983C95"/>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983C95"/>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983C9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983C95"/>
    <w:rPr>
      <w:rFonts w:ascii="Segoe UI" w:hAnsi="Segoe UI" w:cs="Segoe UI"/>
      <w:sz w:val="18"/>
      <w:szCs w:val="18"/>
      <w:lang w:val="en-GB"/>
    </w:rPr>
  </w:style>
  <w:style w:type="character" w:customStyle="1" w:styleId="Hyperlink1">
    <w:name w:val="Hyperlink1"/>
    <w:basedOn w:val="DefaultParagraphFont"/>
    <w:unhideWhenUsed/>
    <w:rsid w:val="00983C95"/>
    <w:rPr>
      <w:color w:val="0563C1"/>
      <w:u w:val="single"/>
    </w:rPr>
  </w:style>
  <w:style w:type="paragraph" w:styleId="NormalWeb">
    <w:name w:val="Normal (Web)"/>
    <w:aliases w:val=" webb,webb"/>
    <w:basedOn w:val="Normal"/>
    <w:link w:val="NormalWebChar"/>
    <w:uiPriority w:val="34"/>
    <w:unhideWhenUsed/>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983C9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983C95"/>
  </w:style>
  <w:style w:type="character" w:customStyle="1" w:styleId="eop">
    <w:name w:val="eop"/>
    <w:basedOn w:val="DefaultParagraphFont"/>
    <w:rsid w:val="00983C95"/>
  </w:style>
  <w:style w:type="paragraph" w:customStyle="1" w:styleId="para2">
    <w:name w:val="para 2."/>
    <w:link w:val="para2Car"/>
    <w:qFormat/>
    <w:rsid w:val="00983C9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983C9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983C95"/>
    <w:rPr>
      <w:color w:val="605E5C"/>
      <w:shd w:val="clear" w:color="auto" w:fill="E1DFDD"/>
    </w:rPr>
  </w:style>
  <w:style w:type="paragraph" w:customStyle="1" w:styleId="para11">
    <w:name w:val="para1.1."/>
    <w:basedOn w:val="Normal"/>
    <w:rsid w:val="00983C95"/>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983C95"/>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983C95"/>
    <w:rPr>
      <w:color w:val="954F72"/>
      <w:u w:val="single"/>
    </w:rPr>
  </w:style>
  <w:style w:type="numbering" w:customStyle="1" w:styleId="NoList2">
    <w:name w:val="No List2"/>
    <w:next w:val="NoList"/>
    <w:uiPriority w:val="99"/>
    <w:semiHidden/>
    <w:unhideWhenUsed/>
    <w:rsid w:val="00983C95"/>
  </w:style>
  <w:style w:type="numbering" w:customStyle="1" w:styleId="ImportedStyle4">
    <w:name w:val="Imported Style 4"/>
    <w:rsid w:val="00983C95"/>
  </w:style>
  <w:style w:type="table" w:customStyle="1" w:styleId="TableGrid1">
    <w:name w:val="Table Grid1"/>
    <w:basedOn w:val="TableNormal"/>
    <w:next w:val="TableGrid"/>
    <w:uiPriority w:val="5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983C95"/>
    <w:rPr>
      <w:color w:val="605E5C"/>
      <w:shd w:val="clear" w:color="auto" w:fill="E1DFDD"/>
    </w:rPr>
  </w:style>
  <w:style w:type="numbering" w:customStyle="1" w:styleId="NoList3">
    <w:name w:val="No List3"/>
    <w:next w:val="NoList"/>
    <w:uiPriority w:val="99"/>
    <w:semiHidden/>
    <w:unhideWhenUsed/>
    <w:rsid w:val="00983C95"/>
  </w:style>
  <w:style w:type="table" w:customStyle="1" w:styleId="TableGrid2">
    <w:name w:val="Table Grid2"/>
    <w:basedOn w:val="TableNormal"/>
    <w:next w:val="TableGrid"/>
    <w:uiPriority w:val="59"/>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983C95"/>
  </w:style>
  <w:style w:type="paragraph" w:customStyle="1" w:styleId="document-article-intitule">
    <w:name w:val="document-article-intitul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983C95"/>
  </w:style>
  <w:style w:type="numbering" w:customStyle="1" w:styleId="ImportedStyle41">
    <w:name w:val="Imported Style 41"/>
    <w:rsid w:val="00983C95"/>
  </w:style>
  <w:style w:type="table" w:customStyle="1" w:styleId="TableGrid3">
    <w:name w:val="Table Grid3"/>
    <w:basedOn w:val="TableNormal"/>
    <w:next w:val="TableGrid"/>
    <w:uiPriority w:val="5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983C95"/>
  </w:style>
  <w:style w:type="table" w:customStyle="1" w:styleId="TableGrid4">
    <w:name w:val="Table Grid4"/>
    <w:basedOn w:val="TableNormal"/>
    <w:next w:val="TableGrid"/>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83C95"/>
  </w:style>
  <w:style w:type="paragraph" w:customStyle="1" w:styleId="Title1">
    <w:name w:val="Title1"/>
    <w:basedOn w:val="Normal"/>
    <w:next w:val="Normal"/>
    <w:uiPriority w:val="10"/>
    <w:qFormat/>
    <w:rsid w:val="00983C9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983C9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983C9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983C95"/>
  </w:style>
  <w:style w:type="character" w:customStyle="1" w:styleId="anchortext">
    <w:name w:val="anchortext"/>
    <w:basedOn w:val="DefaultParagraphFont"/>
    <w:rsid w:val="00983C95"/>
  </w:style>
  <w:style w:type="paragraph" w:styleId="z-TopofForm">
    <w:name w:val="HTML Top of Form"/>
    <w:basedOn w:val="Normal"/>
    <w:next w:val="Normal"/>
    <w:link w:val="z-TopofFormChar"/>
    <w:hidden/>
    <w:uiPriority w:val="99"/>
    <w:semiHidden/>
    <w:unhideWhenUsed/>
    <w:rsid w:val="00983C95"/>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983C9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983C95"/>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983C95"/>
    <w:rPr>
      <w:rFonts w:ascii="Arial" w:eastAsia="Times New Roman" w:hAnsi="Arial" w:cs="Arial"/>
      <w:vanish/>
      <w:sz w:val="16"/>
      <w:szCs w:val="16"/>
      <w:lang w:val="en-GB" w:eastAsia="en-GB"/>
    </w:rPr>
  </w:style>
  <w:style w:type="character" w:customStyle="1" w:styleId="sr-only">
    <w:name w:val="sr-only"/>
    <w:basedOn w:val="DefaultParagraphFont"/>
    <w:rsid w:val="00983C95"/>
  </w:style>
  <w:style w:type="character" w:customStyle="1" w:styleId="cit">
    <w:name w:val="cit"/>
    <w:basedOn w:val="DefaultParagraphFont"/>
    <w:rsid w:val="00983C95"/>
  </w:style>
  <w:style w:type="paragraph" w:customStyle="1" w:styleId="dictionnaire-intitule-terme">
    <w:name w:val="dictionnaire-intitule-term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983C9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983C95"/>
    <w:rPr>
      <w:rFonts w:asciiTheme="majorHAnsi" w:eastAsiaTheme="majorEastAsia" w:hAnsiTheme="majorHAnsi" w:cstheme="majorBidi"/>
      <w:spacing w:val="-10"/>
      <w:kern w:val="28"/>
      <w:sz w:val="56"/>
      <w:szCs w:val="56"/>
      <w:lang w:val="en-CA"/>
    </w:rPr>
  </w:style>
  <w:style w:type="character" w:customStyle="1" w:styleId="Heading1Char1">
    <w:name w:val="Heading 1 Char1"/>
    <w:basedOn w:val="DefaultParagraphFont"/>
    <w:uiPriority w:val="9"/>
    <w:rsid w:val="00983C95"/>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983C95"/>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983C9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983C9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983C9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983C9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983C9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983C9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83C9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983C95"/>
    <w:rPr>
      <w:color w:val="954F72" w:themeColor="followedHyperlink"/>
      <w:u w:val="single"/>
    </w:rPr>
  </w:style>
  <w:style w:type="numbering" w:customStyle="1" w:styleId="NoList7">
    <w:name w:val="No List7"/>
    <w:next w:val="NoList"/>
    <w:uiPriority w:val="99"/>
    <w:semiHidden/>
    <w:unhideWhenUsed/>
    <w:rsid w:val="00983C95"/>
  </w:style>
  <w:style w:type="paragraph" w:styleId="TOC1">
    <w:name w:val="toc 1"/>
    <w:basedOn w:val="Normal"/>
    <w:uiPriority w:val="39"/>
    <w:qFormat/>
    <w:rsid w:val="00983C95"/>
    <w:pPr>
      <w:spacing w:before="120" w:after="120"/>
    </w:pPr>
    <w:rPr>
      <w:rFonts w:cstheme="minorHAnsi"/>
      <w:b/>
      <w:bCs/>
      <w:caps/>
      <w:sz w:val="20"/>
      <w:szCs w:val="20"/>
    </w:rPr>
  </w:style>
  <w:style w:type="paragraph" w:styleId="TOC2">
    <w:name w:val="toc 2"/>
    <w:basedOn w:val="Normal"/>
    <w:uiPriority w:val="39"/>
    <w:qFormat/>
    <w:rsid w:val="00983C95"/>
    <w:pPr>
      <w:spacing w:after="0"/>
      <w:ind w:left="220"/>
    </w:pPr>
    <w:rPr>
      <w:rFonts w:cstheme="minorHAnsi"/>
      <w:smallCaps/>
      <w:sz w:val="20"/>
      <w:szCs w:val="20"/>
    </w:rPr>
  </w:style>
  <w:style w:type="paragraph" w:styleId="TOC3">
    <w:name w:val="toc 3"/>
    <w:basedOn w:val="Normal"/>
    <w:uiPriority w:val="39"/>
    <w:qFormat/>
    <w:rsid w:val="00983C95"/>
    <w:pPr>
      <w:spacing w:after="0"/>
      <w:ind w:left="440"/>
    </w:pPr>
    <w:rPr>
      <w:rFonts w:cstheme="minorHAnsi"/>
      <w:i/>
      <w:iCs/>
      <w:sz w:val="20"/>
      <w:szCs w:val="20"/>
    </w:rPr>
  </w:style>
  <w:style w:type="paragraph" w:styleId="TOC4">
    <w:name w:val="toc 4"/>
    <w:basedOn w:val="Normal"/>
    <w:uiPriority w:val="39"/>
    <w:qFormat/>
    <w:rsid w:val="00983C95"/>
    <w:pPr>
      <w:spacing w:after="0"/>
      <w:ind w:left="660"/>
    </w:pPr>
    <w:rPr>
      <w:rFonts w:cstheme="minorHAnsi"/>
      <w:sz w:val="18"/>
      <w:szCs w:val="18"/>
    </w:rPr>
  </w:style>
  <w:style w:type="paragraph" w:customStyle="1" w:styleId="TableParagraph">
    <w:name w:val="Table Paragraph"/>
    <w:basedOn w:val="Normal"/>
    <w:uiPriority w:val="1"/>
    <w:qFormat/>
    <w:rsid w:val="00983C95"/>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983C95"/>
  </w:style>
  <w:style w:type="numbering" w:customStyle="1" w:styleId="NoList11">
    <w:name w:val="No List11"/>
    <w:next w:val="NoList"/>
    <w:uiPriority w:val="99"/>
    <w:semiHidden/>
    <w:unhideWhenUsed/>
    <w:rsid w:val="00983C95"/>
  </w:style>
  <w:style w:type="paragraph" w:customStyle="1" w:styleId="parai3para">
    <w:name w:val="para i3para"/>
    <w:basedOn w:val="parai3"/>
    <w:qFormat/>
    <w:rsid w:val="00983C95"/>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983C95"/>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983C95"/>
    <w:rPr>
      <w:rFonts w:ascii="Segoe UI" w:hAnsi="Segoe UI" w:cs="Segoe UI"/>
      <w:sz w:val="18"/>
      <w:szCs w:val="18"/>
    </w:rPr>
  </w:style>
  <w:style w:type="character" w:customStyle="1" w:styleId="CommentSubjectChar1">
    <w:name w:val="Comment Subject Char1"/>
    <w:basedOn w:val="CommentTextChar"/>
    <w:uiPriority w:val="99"/>
    <w:semiHidden/>
    <w:rsid w:val="00983C95"/>
    <w:rPr>
      <w:rFonts w:ascii="Calibri" w:eastAsia="Calibri" w:hAnsi="Calibri" w:cs="Times New Roman"/>
      <w:b/>
      <w:bCs/>
      <w:sz w:val="20"/>
      <w:szCs w:val="20"/>
      <w:lang w:val="en-US"/>
    </w:rPr>
  </w:style>
  <w:style w:type="paragraph" w:customStyle="1" w:styleId="document-article-libelle">
    <w:name w:val="document-article-libell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983C95"/>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983C95"/>
    <w:rPr>
      <w:rFonts w:ascii="Arial" w:hAnsi="Arial" w:cs="Arial"/>
      <w:sz w:val="20"/>
      <w:szCs w:val="20"/>
    </w:rPr>
  </w:style>
  <w:style w:type="paragraph" w:styleId="EndnoteText">
    <w:name w:val="endnote text"/>
    <w:basedOn w:val="Normal"/>
    <w:link w:val="EndnoteTextChar"/>
    <w:uiPriority w:val="99"/>
    <w:semiHidden/>
    <w:unhideWhenUsed/>
    <w:rsid w:val="00983C95"/>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983C95"/>
    <w:rPr>
      <w:sz w:val="20"/>
      <w:szCs w:val="20"/>
      <w:lang w:val="en-CA"/>
    </w:rPr>
  </w:style>
  <w:style w:type="numbering" w:customStyle="1" w:styleId="Aucuneliste1">
    <w:name w:val="Aucune liste1"/>
    <w:next w:val="NoList"/>
    <w:uiPriority w:val="99"/>
    <w:semiHidden/>
    <w:unhideWhenUsed/>
    <w:rsid w:val="00983C95"/>
  </w:style>
  <w:style w:type="paragraph" w:customStyle="1" w:styleId="a">
    <w:name w:val="a"/>
    <w:basedOn w:val="Normal"/>
    <w:link w:val="aCar"/>
    <w:qFormat/>
    <w:rsid w:val="00983C95"/>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983C95"/>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983C95"/>
    <w:rPr>
      <w:rFonts w:ascii="Arial" w:eastAsia="Arial" w:hAnsi="Arial" w:cs="Arial"/>
      <w:sz w:val="18"/>
      <w:szCs w:val="18"/>
    </w:rPr>
  </w:style>
  <w:style w:type="paragraph" w:customStyle="1" w:styleId="i">
    <w:name w:val="i"/>
    <w:basedOn w:val="Normal"/>
    <w:link w:val="iCar"/>
    <w:autoRedefine/>
    <w:qFormat/>
    <w:rsid w:val="00983C95"/>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983C95"/>
    <w:rPr>
      <w:rFonts w:ascii="Arial" w:eastAsia="Arial" w:hAnsi="Arial" w:cs="Arial"/>
      <w:sz w:val="18"/>
      <w:szCs w:val="18"/>
    </w:rPr>
  </w:style>
  <w:style w:type="character" w:customStyle="1" w:styleId="iCar">
    <w:name w:val="i Car"/>
    <w:link w:val="i"/>
    <w:rsid w:val="00983C95"/>
    <w:rPr>
      <w:rFonts w:ascii="Arial" w:eastAsia="Arial" w:hAnsi="Arial" w:cs="Arial"/>
      <w:sz w:val="18"/>
      <w:szCs w:val="18"/>
    </w:rPr>
  </w:style>
  <w:style w:type="paragraph" w:styleId="PlainText">
    <w:name w:val="Plain Text"/>
    <w:basedOn w:val="Normal"/>
    <w:link w:val="PlainTextChar2"/>
    <w:uiPriority w:val="99"/>
    <w:unhideWhenUsed/>
    <w:rsid w:val="00983C95"/>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983C95"/>
    <w:rPr>
      <w:rFonts w:ascii="Consolas" w:hAnsi="Consolas"/>
      <w:sz w:val="21"/>
      <w:szCs w:val="21"/>
      <w:lang w:val="en-CA"/>
    </w:rPr>
  </w:style>
  <w:style w:type="character" w:customStyle="1" w:styleId="PlainTextChar2">
    <w:name w:val="Plain Text Char2"/>
    <w:link w:val="PlainText"/>
    <w:uiPriority w:val="99"/>
    <w:rsid w:val="00983C95"/>
    <w:rPr>
      <w:rFonts w:ascii="Calibri" w:eastAsia="Calibri" w:hAnsi="Calibri" w:cs="Consolas"/>
      <w:szCs w:val="21"/>
    </w:rPr>
  </w:style>
  <w:style w:type="paragraph" w:customStyle="1" w:styleId="10">
    <w:name w:val="1."/>
    <w:basedOn w:val="Normal"/>
    <w:link w:val="1Car0"/>
    <w:uiPriority w:val="99"/>
    <w:qFormat/>
    <w:rsid w:val="00983C95"/>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983C95"/>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983C95"/>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983C95"/>
  </w:style>
  <w:style w:type="paragraph" w:customStyle="1" w:styleId="Paramarge">
    <w:name w:val="Para marge"/>
    <w:basedOn w:val="Normal"/>
    <w:rsid w:val="00983C95"/>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983C9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983C95"/>
  </w:style>
  <w:style w:type="numbering" w:customStyle="1" w:styleId="ImportedStyle5">
    <w:name w:val="Imported Style 5"/>
    <w:rsid w:val="00983C95"/>
  </w:style>
  <w:style w:type="numbering" w:customStyle="1" w:styleId="ImportedStyle1">
    <w:name w:val="Imported Style 1"/>
    <w:rsid w:val="00983C95"/>
  </w:style>
  <w:style w:type="table" w:customStyle="1" w:styleId="Grilledutableau1">
    <w:name w:val="Grille du tableau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983C95"/>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983C95"/>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983C95"/>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983C95"/>
  </w:style>
  <w:style w:type="character" w:customStyle="1" w:styleId="nom-revue">
    <w:name w:val="nom-revue"/>
    <w:basedOn w:val="DefaultParagraphFont"/>
    <w:rsid w:val="00983C95"/>
  </w:style>
  <w:style w:type="character" w:customStyle="1" w:styleId="num-revue">
    <w:name w:val="num-revue"/>
    <w:basedOn w:val="DefaultParagraphFont"/>
    <w:rsid w:val="00983C95"/>
  </w:style>
  <w:style w:type="paragraph" w:customStyle="1" w:styleId="csc-textpic-caption">
    <w:name w:val="csc-textpic-caption"/>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983C95"/>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983C95"/>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983C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983C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983C9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983C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983C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983C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983C9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983C95"/>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983C95"/>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983C95"/>
    <w:rPr>
      <w:rFonts w:ascii="Arial" w:hAnsi="Arial" w:cs="Arial" w:hint="default"/>
      <w:sz w:val="18"/>
      <w:szCs w:val="18"/>
    </w:rPr>
  </w:style>
  <w:style w:type="paragraph" w:customStyle="1" w:styleId="pBase">
    <w:name w:val="p_Base"/>
    <w:next w:val="Normal"/>
    <w:rsid w:val="00983C95"/>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983C95"/>
    <w:rPr>
      <w:b/>
      <w:bCs/>
    </w:rPr>
  </w:style>
  <w:style w:type="paragraph" w:customStyle="1" w:styleId="Para20">
    <w:name w:val="Para 2"/>
    <w:basedOn w:val="Normal"/>
    <w:link w:val="Para2Car0"/>
    <w:qFormat/>
    <w:rsid w:val="00983C95"/>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983C95"/>
    <w:rPr>
      <w:rFonts w:ascii="Söhne" w:eastAsia="Times New Roman" w:hAnsi="Söhne" w:cs="Times New Roman"/>
      <w:sz w:val="18"/>
      <w:lang w:val="en-IE"/>
    </w:rPr>
  </w:style>
  <w:style w:type="paragraph" w:customStyle="1" w:styleId="Parai2">
    <w:name w:val="Para i.2"/>
    <w:basedOn w:val="Normal"/>
    <w:link w:val="Parai2Car"/>
    <w:rsid w:val="00983C95"/>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983C95"/>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983C95"/>
    <w:rPr>
      <w:rFonts w:ascii="Arial" w:eastAsia="Times New Roman" w:hAnsi="Arial" w:cs="Times New Roman"/>
      <w:sz w:val="18"/>
      <w:lang w:val="en-IE" w:bidi="en-US"/>
    </w:rPr>
  </w:style>
  <w:style w:type="paragraph" w:customStyle="1" w:styleId="Parai1">
    <w:name w:val="Para i1"/>
    <w:basedOn w:val="Para12"/>
    <w:rsid w:val="00983C95"/>
    <w:pPr>
      <w:ind w:left="425" w:hanging="425"/>
    </w:pPr>
    <w:rPr>
      <w:lang w:eastAsia="es-ES"/>
    </w:rPr>
  </w:style>
  <w:style w:type="paragraph" w:styleId="BodyText3">
    <w:name w:val="Body Text 3"/>
    <w:basedOn w:val="Normal"/>
    <w:link w:val="BodyText3Char"/>
    <w:unhideWhenUsed/>
    <w:rsid w:val="00983C95"/>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983C95"/>
    <w:rPr>
      <w:rFonts w:ascii="Calibri" w:eastAsia="Calibri" w:hAnsi="Calibri" w:cs="Times New Roman"/>
      <w:sz w:val="16"/>
      <w:szCs w:val="16"/>
      <w:lang w:val="x-none"/>
    </w:rPr>
  </w:style>
  <w:style w:type="character" w:styleId="IntenseEmphasis">
    <w:name w:val="Intense Emphasis"/>
    <w:aliases w:val="WOAH ANNEX Emphasis"/>
    <w:uiPriority w:val="21"/>
    <w:qFormat/>
    <w:rsid w:val="00983C95"/>
    <w:rPr>
      <w:i/>
      <w:iCs/>
      <w:color w:val="auto"/>
      <w:sz w:val="24"/>
      <w:u w:val="single"/>
    </w:rPr>
  </w:style>
  <w:style w:type="paragraph" w:customStyle="1" w:styleId="Chaptertitle">
    <w:name w:val="Chapter title"/>
    <w:basedOn w:val="Normal"/>
    <w:link w:val="ChaptertitleCar"/>
    <w:rsid w:val="00983C95"/>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983C95"/>
  </w:style>
  <w:style w:type="paragraph" w:customStyle="1" w:styleId="Note">
    <w:name w:val="Note"/>
    <w:basedOn w:val="FootnoteText"/>
    <w:rsid w:val="00983C95"/>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983C95"/>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983C95"/>
    <w:rPr>
      <w:rFonts w:ascii="Arial" w:eastAsia="Times New Roman" w:hAnsi="Arial" w:cs="Times New Roman"/>
      <w:bCs/>
      <w:sz w:val="18"/>
      <w:lang w:val="en-IE"/>
    </w:rPr>
  </w:style>
  <w:style w:type="paragraph" w:customStyle="1" w:styleId="Para4">
    <w:name w:val="Para 4"/>
    <w:basedOn w:val="Normal"/>
    <w:link w:val="Para4Car"/>
    <w:rsid w:val="00983C95"/>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983C95"/>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983C95"/>
    <w:pPr>
      <w:spacing w:after="120"/>
      <w:ind w:left="1559" w:hanging="425"/>
    </w:pPr>
  </w:style>
  <w:style w:type="paragraph" w:customStyle="1" w:styleId="Para6">
    <w:name w:val="Para 6"/>
    <w:basedOn w:val="Parai5"/>
    <w:rsid w:val="00983C95"/>
    <w:pPr>
      <w:ind w:firstLine="0"/>
    </w:pPr>
  </w:style>
  <w:style w:type="paragraph" w:customStyle="1" w:styleId="Parai35">
    <w:name w:val="Para i.3.5"/>
    <w:basedOn w:val="Parai5"/>
    <w:rsid w:val="00983C95"/>
    <w:pPr>
      <w:tabs>
        <w:tab w:val="left" w:pos="2835"/>
        <w:tab w:val="left" w:pos="4536"/>
      </w:tabs>
      <w:ind w:firstLine="0"/>
    </w:pPr>
  </w:style>
  <w:style w:type="paragraph" w:customStyle="1" w:styleId="paraii35">
    <w:name w:val="para ii.3.5"/>
    <w:basedOn w:val="Parai35"/>
    <w:rsid w:val="00983C95"/>
    <w:pPr>
      <w:tabs>
        <w:tab w:val="clear" w:pos="2835"/>
        <w:tab w:val="clear" w:pos="4536"/>
      </w:tabs>
      <w:ind w:left="1984" w:hanging="425"/>
    </w:pPr>
  </w:style>
  <w:style w:type="paragraph" w:customStyle="1" w:styleId="Tablefn">
    <w:name w:val="Table fn"/>
    <w:basedOn w:val="Para12"/>
    <w:rsid w:val="00983C95"/>
    <w:pPr>
      <w:spacing w:before="240"/>
      <w:jc w:val="center"/>
    </w:pPr>
    <w:rPr>
      <w:sz w:val="16"/>
    </w:rPr>
  </w:style>
  <w:style w:type="paragraph" w:customStyle="1" w:styleId="TableHead">
    <w:name w:val="Table Head"/>
    <w:basedOn w:val="Para5"/>
    <w:link w:val="TableHeadCar"/>
    <w:rsid w:val="00983C95"/>
    <w:pPr>
      <w:spacing w:before="120" w:after="120"/>
      <w:ind w:left="0"/>
      <w:jc w:val="center"/>
    </w:pPr>
    <w:rPr>
      <w:rFonts w:ascii="Ottawa" w:hAnsi="Ottawa"/>
      <w:b/>
    </w:rPr>
  </w:style>
  <w:style w:type="paragraph" w:customStyle="1" w:styleId="Tabletext">
    <w:name w:val="Table text"/>
    <w:basedOn w:val="Para5"/>
    <w:rsid w:val="00983C95"/>
    <w:pPr>
      <w:spacing w:before="120" w:after="120"/>
      <w:ind w:left="0"/>
      <w:jc w:val="center"/>
    </w:pPr>
    <w:rPr>
      <w:rFonts w:cs="Arial"/>
    </w:rPr>
  </w:style>
  <w:style w:type="paragraph" w:customStyle="1" w:styleId="Tabletitle">
    <w:name w:val="Table title"/>
    <w:basedOn w:val="Para5"/>
    <w:link w:val="TabletitleCar"/>
    <w:autoRedefine/>
    <w:rsid w:val="00983C95"/>
    <w:pPr>
      <w:spacing w:after="120"/>
      <w:ind w:left="0"/>
      <w:jc w:val="center"/>
    </w:pPr>
    <w:rPr>
      <w:rFonts w:ascii="Ottawa" w:hAnsi="Ottawa"/>
      <w:b/>
      <w:i/>
    </w:rPr>
  </w:style>
  <w:style w:type="paragraph" w:customStyle="1" w:styleId="Title5a">
    <w:name w:val="Title 5a"/>
    <w:basedOn w:val="Para5"/>
    <w:link w:val="Title5aCar"/>
    <w:rsid w:val="00983C95"/>
    <w:pPr>
      <w:spacing w:before="240" w:after="120"/>
    </w:pPr>
    <w:rPr>
      <w:rFonts w:ascii="Ottawa" w:hAnsi="Ottawa"/>
      <w:i/>
    </w:rPr>
  </w:style>
  <w:style w:type="paragraph" w:customStyle="1" w:styleId="Title6">
    <w:name w:val="Title 6"/>
    <w:basedOn w:val="Para5"/>
    <w:rsid w:val="00983C95"/>
    <w:pPr>
      <w:spacing w:after="120"/>
      <w:ind w:left="1559"/>
    </w:pPr>
    <w:rPr>
      <w:rFonts w:ascii="Ottawa" w:hAnsi="Ottawa"/>
      <w:i/>
    </w:rPr>
  </w:style>
  <w:style w:type="paragraph" w:customStyle="1" w:styleId="Buffertext">
    <w:name w:val="Buffer text"/>
    <w:basedOn w:val="Para5"/>
    <w:link w:val="BuffertextCar"/>
    <w:rsid w:val="00983C95"/>
    <w:pPr>
      <w:tabs>
        <w:tab w:val="left" w:pos="5670"/>
      </w:tabs>
      <w:spacing w:after="0"/>
    </w:pPr>
    <w:rPr>
      <w:rFonts w:cs="Arial"/>
      <w:lang w:val="pt-BR"/>
    </w:rPr>
  </w:style>
  <w:style w:type="paragraph" w:customStyle="1" w:styleId="buffertextlast">
    <w:name w:val="buffer text last"/>
    <w:basedOn w:val="Buffertext"/>
    <w:link w:val="buffertextlastCar"/>
    <w:rsid w:val="00983C95"/>
    <w:pPr>
      <w:spacing w:after="240"/>
    </w:pPr>
    <w:rPr>
      <w:szCs w:val="18"/>
    </w:rPr>
  </w:style>
  <w:style w:type="paragraph" w:customStyle="1" w:styleId="ien-tte">
    <w:name w:val="i en-tête"/>
    <w:basedOn w:val="Header"/>
    <w:rsid w:val="00983C95"/>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983C95"/>
    <w:rPr>
      <w:rFonts w:ascii="Arial" w:hAnsi="Arial"/>
      <w:sz w:val="16"/>
    </w:rPr>
  </w:style>
  <w:style w:type="character" w:styleId="Emphasis">
    <w:name w:val="Emphasis"/>
    <w:aliases w:val="WOAH Emphasis"/>
    <w:uiPriority w:val="20"/>
    <w:qFormat/>
    <w:rsid w:val="00983C95"/>
    <w:rPr>
      <w:i/>
      <w:iCs/>
    </w:rPr>
  </w:style>
  <w:style w:type="paragraph" w:customStyle="1" w:styleId="solutionstext">
    <w:name w:val="solutions text"/>
    <w:basedOn w:val="Para5"/>
    <w:rsid w:val="00983C95"/>
    <w:pPr>
      <w:tabs>
        <w:tab w:val="left" w:pos="5670"/>
      </w:tabs>
      <w:spacing w:after="0"/>
      <w:ind w:left="0"/>
    </w:pPr>
    <w:rPr>
      <w:rFonts w:cs="Arial"/>
      <w:lang w:val="pt-BR"/>
    </w:rPr>
  </w:style>
  <w:style w:type="paragraph" w:customStyle="1" w:styleId="Parai6">
    <w:name w:val="Para i.6"/>
    <w:basedOn w:val="Parai5"/>
    <w:qFormat/>
    <w:rsid w:val="00983C95"/>
    <w:pPr>
      <w:ind w:left="1984"/>
    </w:pPr>
  </w:style>
  <w:style w:type="paragraph" w:customStyle="1" w:styleId="Para7">
    <w:name w:val="Para 7"/>
    <w:basedOn w:val="Para6"/>
    <w:qFormat/>
    <w:rsid w:val="00983C95"/>
    <w:pPr>
      <w:ind w:left="1701"/>
    </w:pPr>
  </w:style>
  <w:style w:type="paragraph" w:customStyle="1" w:styleId="Para7i">
    <w:name w:val="Para 7i"/>
    <w:basedOn w:val="Title6"/>
    <w:qFormat/>
    <w:rsid w:val="00983C95"/>
    <w:pPr>
      <w:ind w:left="2126" w:hanging="425"/>
    </w:pPr>
    <w:rPr>
      <w:rFonts w:ascii="Arial" w:hAnsi="Arial" w:cs="Arial"/>
      <w:i w:val="0"/>
      <w:szCs w:val="18"/>
    </w:rPr>
  </w:style>
  <w:style w:type="paragraph" w:customStyle="1" w:styleId="Para5a">
    <w:name w:val="Para 5a"/>
    <w:basedOn w:val="Para5"/>
    <w:qFormat/>
    <w:rsid w:val="00983C95"/>
    <w:pPr>
      <w:ind w:left="1418"/>
    </w:pPr>
    <w:rPr>
      <w:lang w:bidi="ar-SA"/>
    </w:rPr>
  </w:style>
  <w:style w:type="paragraph" w:styleId="HTMLPreformatted">
    <w:name w:val="HTML Preformatted"/>
    <w:basedOn w:val="Normal"/>
    <w:link w:val="HTMLPreformattedChar"/>
    <w:rsid w:val="0098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983C95"/>
    <w:rPr>
      <w:rFonts w:ascii="Tahoma" w:eastAsia="Times New Roman" w:hAnsi="Tahoma" w:cs="Tahoma"/>
      <w:sz w:val="20"/>
      <w:szCs w:val="20"/>
      <w:lang w:bidi="th-TH"/>
    </w:rPr>
  </w:style>
  <w:style w:type="character" w:customStyle="1" w:styleId="CarCar5">
    <w:name w:val="Car Car5"/>
    <w:rsid w:val="00983C95"/>
    <w:rPr>
      <w:rFonts w:ascii="Ottawa" w:hAnsi="Ottawa"/>
      <w:b/>
      <w:spacing w:val="-10"/>
      <w:kern w:val="28"/>
      <w:position w:val="6"/>
      <w:sz w:val="22"/>
      <w:szCs w:val="22"/>
      <w:lang w:val="en-US" w:eastAsia="en-US" w:bidi="en-US"/>
    </w:rPr>
  </w:style>
  <w:style w:type="character" w:customStyle="1" w:styleId="CarCar4">
    <w:name w:val="Car Car4"/>
    <w:rsid w:val="00983C95"/>
    <w:rPr>
      <w:rFonts w:ascii="TradeGothic Bold" w:hAnsi="TradeGothic Bold"/>
      <w:spacing w:val="-10"/>
      <w:kern w:val="28"/>
      <w:position w:val="6"/>
      <w:sz w:val="21"/>
      <w:szCs w:val="22"/>
      <w:lang w:val="en-US" w:eastAsia="fr-FR" w:bidi="en-US"/>
    </w:rPr>
  </w:style>
  <w:style w:type="character" w:customStyle="1" w:styleId="CarCar3">
    <w:name w:val="Car Car3"/>
    <w:rsid w:val="00983C95"/>
    <w:rPr>
      <w:rFonts w:ascii="Ottawa" w:hAnsi="Ottawa"/>
      <w:b/>
      <w:spacing w:val="-4"/>
      <w:kern w:val="28"/>
      <w:sz w:val="19"/>
      <w:szCs w:val="22"/>
      <w:lang w:val="en-US" w:eastAsia="fr-FR" w:bidi="en-US"/>
    </w:rPr>
  </w:style>
  <w:style w:type="character" w:customStyle="1" w:styleId="CarCar2">
    <w:name w:val="Car Car2"/>
    <w:rsid w:val="00983C95"/>
    <w:rPr>
      <w:rFonts w:ascii="Ottawa" w:hAnsi="Ottawa"/>
      <w:b/>
      <w:spacing w:val="-4"/>
      <w:kern w:val="28"/>
      <w:sz w:val="18"/>
      <w:szCs w:val="22"/>
      <w:lang w:val="en-US" w:eastAsia="fr-FR" w:bidi="en-US"/>
    </w:rPr>
  </w:style>
  <w:style w:type="character" w:customStyle="1" w:styleId="CarCar1">
    <w:name w:val="Car Car1"/>
    <w:rsid w:val="00983C95"/>
    <w:rPr>
      <w:rFonts w:ascii="Ottawa" w:hAnsi="Ottawa"/>
      <w:i/>
      <w:spacing w:val="-4"/>
      <w:kern w:val="28"/>
      <w:sz w:val="18"/>
      <w:lang w:val="en-US" w:eastAsia="en-US" w:bidi="en-US"/>
    </w:rPr>
  </w:style>
  <w:style w:type="character" w:customStyle="1" w:styleId="CarCar">
    <w:name w:val="Car Car"/>
    <w:rsid w:val="00983C95"/>
    <w:rPr>
      <w:rFonts w:ascii="Rockwell" w:hAnsi="Rockwell"/>
      <w:bCs/>
      <w:iCs/>
      <w:spacing w:val="20"/>
      <w:szCs w:val="60"/>
      <w:lang w:val="en-US" w:eastAsia="en-US" w:bidi="en-US"/>
    </w:rPr>
  </w:style>
  <w:style w:type="character" w:customStyle="1" w:styleId="Text4">
    <w:name w:val="Text 4"/>
    <w:rsid w:val="00983C95"/>
    <w:rPr>
      <w:rFonts w:ascii="TradeGothic" w:hAnsi="TradeGothic"/>
      <w:b/>
      <w:bCs/>
      <w:sz w:val="20"/>
      <w:szCs w:val="22"/>
      <w:lang w:val="en-IE" w:eastAsia="fr-FR" w:bidi="ar-SA"/>
    </w:rPr>
  </w:style>
  <w:style w:type="paragraph" w:customStyle="1" w:styleId="Text1">
    <w:name w:val="Text 1"/>
    <w:basedOn w:val="Normal"/>
    <w:rsid w:val="00983C95"/>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983C95"/>
    <w:rPr>
      <w:rFonts w:ascii="Garamond" w:hAnsi="Garamond"/>
      <w:bCs/>
      <w:sz w:val="22"/>
      <w:szCs w:val="22"/>
      <w:lang w:val="en-IE" w:eastAsia="fr-FR" w:bidi="ar-SA"/>
    </w:rPr>
  </w:style>
  <w:style w:type="character" w:customStyle="1" w:styleId="Text1111bulletCar">
    <w:name w:val="Text 1.1.1.1 bullet Car"/>
    <w:rsid w:val="00983C95"/>
    <w:rPr>
      <w:rFonts w:ascii="Garamond" w:hAnsi="Garamond"/>
      <w:sz w:val="22"/>
      <w:szCs w:val="22"/>
      <w:lang w:val="en-IE" w:eastAsia="fr-FR" w:bidi="ar-SA"/>
    </w:rPr>
  </w:style>
  <w:style w:type="paragraph" w:customStyle="1" w:styleId="Level1">
    <w:name w:val="Level 1"/>
    <w:basedOn w:val="Normal"/>
    <w:rsid w:val="00983C95"/>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983C95"/>
    <w:rPr>
      <w:rFonts w:ascii="Garamond" w:hAnsi="Garamond"/>
      <w:b/>
      <w:sz w:val="18"/>
      <w:lang w:val="en-IE" w:eastAsia="fr-FR"/>
    </w:rPr>
  </w:style>
  <w:style w:type="paragraph" w:customStyle="1" w:styleId="111">
    <w:name w:val="1.1.1."/>
    <w:basedOn w:val="Normal"/>
    <w:rsid w:val="00983C95"/>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983C95"/>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983C95"/>
    <w:pPr>
      <w:spacing w:after="120"/>
    </w:pPr>
    <w:rPr>
      <w:lang w:val="en-GB"/>
    </w:rPr>
  </w:style>
  <w:style w:type="character" w:customStyle="1" w:styleId="Para5Car">
    <w:name w:val="Para 5 Car"/>
    <w:rsid w:val="00983C95"/>
    <w:rPr>
      <w:rFonts w:ascii="Arial" w:hAnsi="Arial"/>
      <w:bCs/>
      <w:sz w:val="18"/>
      <w:szCs w:val="22"/>
      <w:lang w:val="en-IE" w:eastAsia="en-US" w:bidi="en-US"/>
    </w:rPr>
  </w:style>
  <w:style w:type="character" w:customStyle="1" w:styleId="solutionstextCar">
    <w:name w:val="solutions text Car"/>
    <w:rsid w:val="00983C95"/>
    <w:rPr>
      <w:rFonts w:ascii="Arial" w:hAnsi="Arial" w:cs="Arial"/>
      <w:bCs/>
      <w:sz w:val="18"/>
      <w:szCs w:val="22"/>
      <w:lang w:val="pt-BR" w:eastAsia="en-US" w:bidi="en-US"/>
    </w:rPr>
  </w:style>
  <w:style w:type="character" w:customStyle="1" w:styleId="solutionstextlastCar">
    <w:name w:val="solutions text last Car"/>
    <w:rsid w:val="00983C95"/>
    <w:rPr>
      <w:rFonts w:ascii="Arial" w:hAnsi="Arial" w:cs="Arial"/>
      <w:bCs/>
      <w:sz w:val="18"/>
      <w:szCs w:val="22"/>
      <w:lang w:val="en-GB" w:eastAsia="en-US" w:bidi="en-US"/>
    </w:rPr>
  </w:style>
  <w:style w:type="paragraph" w:customStyle="1" w:styleId="StylePara2Aprs10pt">
    <w:name w:val="Style Para 2 + Après : 10 pt"/>
    <w:basedOn w:val="Para20"/>
    <w:rsid w:val="00983C95"/>
    <w:pPr>
      <w:spacing w:after="200"/>
    </w:pPr>
    <w:rPr>
      <w:szCs w:val="20"/>
    </w:rPr>
  </w:style>
  <w:style w:type="paragraph" w:customStyle="1" w:styleId="CarCar1Car">
    <w:name w:val="Car Car1 Car"/>
    <w:basedOn w:val="Normal"/>
    <w:rsid w:val="00983C95"/>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983C95"/>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983C95"/>
    <w:rPr>
      <w:rFonts w:ascii="Arial" w:eastAsia="Times New Roman" w:hAnsi="Arial" w:cs="Arial"/>
      <w:sz w:val="18"/>
      <w:szCs w:val="18"/>
      <w:lang w:val="en-GB" w:eastAsia="fr-FR"/>
    </w:rPr>
  </w:style>
  <w:style w:type="character" w:customStyle="1" w:styleId="jrnl">
    <w:name w:val="jrnl"/>
    <w:basedOn w:val="DefaultParagraphFont"/>
    <w:rsid w:val="00983C95"/>
  </w:style>
  <w:style w:type="paragraph" w:customStyle="1" w:styleId="Base1">
    <w:name w:val="Base1"/>
    <w:rsid w:val="00983C95"/>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983C95"/>
  </w:style>
  <w:style w:type="character" w:customStyle="1" w:styleId="apple-converted-space">
    <w:name w:val="apple-converted-space"/>
    <w:basedOn w:val="DefaultParagraphFont"/>
    <w:rsid w:val="00983C95"/>
  </w:style>
  <w:style w:type="character" w:customStyle="1" w:styleId="Para1Char">
    <w:name w:val="Para 1 Char"/>
    <w:rsid w:val="00983C95"/>
    <w:rPr>
      <w:rFonts w:ascii="Arial" w:hAnsi="Arial"/>
      <w:sz w:val="18"/>
      <w:szCs w:val="22"/>
      <w:lang w:val="en-IE" w:eastAsia="en-US" w:bidi="en-US"/>
    </w:rPr>
  </w:style>
  <w:style w:type="character" w:customStyle="1" w:styleId="Para3Char">
    <w:name w:val="Para 3 Char"/>
    <w:rsid w:val="00983C95"/>
    <w:rPr>
      <w:rFonts w:ascii="Arial" w:hAnsi="Arial"/>
      <w:bCs/>
      <w:sz w:val="18"/>
      <w:szCs w:val="22"/>
      <w:lang w:val="en-IE" w:eastAsia="en-US" w:bidi="ar-SA"/>
    </w:rPr>
  </w:style>
  <w:style w:type="paragraph" w:customStyle="1" w:styleId="Title2">
    <w:name w:val="Title 2"/>
    <w:basedOn w:val="Normal"/>
    <w:qFormat/>
    <w:rsid w:val="00983C95"/>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983C95"/>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983C95"/>
    <w:pPr>
      <w:jc w:val="center"/>
    </w:pPr>
    <w:rPr>
      <w:rFonts w:ascii="Ottawa" w:hAnsi="Ottawa" w:cs="Times New Roman"/>
      <w:bCs w:val="0"/>
      <w:szCs w:val="20"/>
    </w:rPr>
  </w:style>
  <w:style w:type="character" w:customStyle="1" w:styleId="Hyperlink0">
    <w:name w:val="Hyperlink.0"/>
    <w:rsid w:val="00983C95"/>
    <w:rPr>
      <w:color w:val="0000FF"/>
      <w:sz w:val="24"/>
      <w:szCs w:val="24"/>
      <w:u w:val="single" w:color="0000FF"/>
      <w:lang w:val="en-US"/>
    </w:rPr>
  </w:style>
  <w:style w:type="character" w:customStyle="1" w:styleId="highlight">
    <w:name w:val="highlight"/>
    <w:basedOn w:val="DefaultParagraphFont"/>
    <w:rsid w:val="00983C95"/>
  </w:style>
  <w:style w:type="character" w:customStyle="1" w:styleId="hps">
    <w:name w:val="hps"/>
    <w:basedOn w:val="DefaultParagraphFont"/>
    <w:rsid w:val="00983C95"/>
  </w:style>
  <w:style w:type="character" w:customStyle="1" w:styleId="longtext1">
    <w:name w:val="long_text1"/>
    <w:rsid w:val="00983C95"/>
    <w:rPr>
      <w:sz w:val="20"/>
      <w:szCs w:val="20"/>
    </w:rPr>
  </w:style>
  <w:style w:type="paragraph" w:styleId="BlockText">
    <w:name w:val="Block Text"/>
    <w:basedOn w:val="Normal"/>
    <w:rsid w:val="00983C95"/>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983C95"/>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983C95"/>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983C95"/>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983C95"/>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983C95"/>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983C95"/>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983C95"/>
    <w:pPr>
      <w:ind w:firstLine="210"/>
    </w:pPr>
  </w:style>
  <w:style w:type="character" w:customStyle="1" w:styleId="BodyTextFirstIndent2Char">
    <w:name w:val="Body Text First Indent 2 Char"/>
    <w:basedOn w:val="BodyTextIndentChar"/>
    <w:link w:val="BodyTextFirstIndent2"/>
    <w:uiPriority w:val="99"/>
    <w:rsid w:val="00983C95"/>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983C95"/>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983C95"/>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983C95"/>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983C95"/>
    <w:rPr>
      <w:rFonts w:ascii="Times New Roman" w:eastAsia="SimSun" w:hAnsi="Times New Roman" w:cs="Times New Roman"/>
      <w:sz w:val="16"/>
      <w:szCs w:val="16"/>
      <w:lang w:val="en-AU" w:eastAsia="zh-CN"/>
    </w:rPr>
  </w:style>
  <w:style w:type="paragraph" w:styleId="Closing">
    <w:name w:val="Closing"/>
    <w:basedOn w:val="Normal"/>
    <w:link w:val="ClosingChar"/>
    <w:rsid w:val="00983C95"/>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983C95"/>
    <w:rPr>
      <w:rFonts w:ascii="Times New Roman" w:eastAsia="SimSun" w:hAnsi="Times New Roman" w:cs="Times New Roman"/>
      <w:sz w:val="20"/>
      <w:szCs w:val="20"/>
      <w:lang w:val="en-AU" w:eastAsia="zh-CN"/>
    </w:rPr>
  </w:style>
  <w:style w:type="paragraph" w:styleId="Date">
    <w:name w:val="Date"/>
    <w:basedOn w:val="Normal"/>
    <w:next w:val="Normal"/>
    <w:link w:val="DateChar"/>
    <w:rsid w:val="00983C95"/>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983C95"/>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983C95"/>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983C95"/>
    <w:rPr>
      <w:rFonts w:ascii="Times New Roman" w:eastAsia="SimSun" w:hAnsi="Times New Roman" w:cs="Times New Roman"/>
      <w:sz w:val="20"/>
      <w:szCs w:val="20"/>
      <w:lang w:val="en-AU" w:eastAsia="zh-CN"/>
    </w:rPr>
  </w:style>
  <w:style w:type="paragraph" w:styleId="EnvelopeAddress">
    <w:name w:val="envelope address"/>
    <w:basedOn w:val="Normal"/>
    <w:rsid w:val="00983C95"/>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983C95"/>
    <w:pPr>
      <w:spacing w:before="160" w:after="0" w:line="240" w:lineRule="auto"/>
    </w:pPr>
    <w:rPr>
      <w:rFonts w:ascii="Arial" w:eastAsia="SimSun" w:hAnsi="Arial" w:cs="Arial"/>
      <w:sz w:val="20"/>
      <w:szCs w:val="20"/>
      <w:lang w:val="en-AU" w:eastAsia="zh-CN"/>
    </w:rPr>
  </w:style>
  <w:style w:type="character" w:styleId="HTMLAcronym">
    <w:name w:val="HTML Acronym"/>
    <w:rsid w:val="00983C95"/>
  </w:style>
  <w:style w:type="paragraph" w:styleId="HTMLAddress">
    <w:name w:val="HTML Address"/>
    <w:basedOn w:val="Normal"/>
    <w:link w:val="HTMLAddressChar"/>
    <w:rsid w:val="00983C95"/>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983C95"/>
    <w:rPr>
      <w:rFonts w:ascii="Times New Roman" w:eastAsia="SimSun" w:hAnsi="Times New Roman" w:cs="Times New Roman"/>
      <w:i/>
      <w:iCs/>
      <w:sz w:val="20"/>
      <w:szCs w:val="20"/>
      <w:lang w:val="en-AU" w:eastAsia="zh-CN"/>
    </w:rPr>
  </w:style>
  <w:style w:type="character" w:styleId="HTMLCite">
    <w:name w:val="HTML Cite"/>
    <w:rsid w:val="00983C95"/>
    <w:rPr>
      <w:i/>
      <w:iCs/>
    </w:rPr>
  </w:style>
  <w:style w:type="character" w:styleId="HTMLCode">
    <w:name w:val="HTML Code"/>
    <w:rsid w:val="00983C95"/>
    <w:rPr>
      <w:rFonts w:ascii="Courier New" w:hAnsi="Courier New" w:cs="Courier New"/>
      <w:sz w:val="20"/>
      <w:szCs w:val="20"/>
    </w:rPr>
  </w:style>
  <w:style w:type="character" w:styleId="HTMLDefinition">
    <w:name w:val="HTML Definition"/>
    <w:rsid w:val="00983C95"/>
    <w:rPr>
      <w:i/>
      <w:iCs/>
    </w:rPr>
  </w:style>
  <w:style w:type="character" w:styleId="HTMLKeyboard">
    <w:name w:val="HTML Keyboard"/>
    <w:rsid w:val="00983C95"/>
    <w:rPr>
      <w:rFonts w:ascii="Courier New" w:hAnsi="Courier New" w:cs="Courier New"/>
      <w:sz w:val="20"/>
      <w:szCs w:val="20"/>
    </w:rPr>
  </w:style>
  <w:style w:type="character" w:styleId="HTMLSample">
    <w:name w:val="HTML Sample"/>
    <w:rsid w:val="00983C95"/>
    <w:rPr>
      <w:rFonts w:ascii="Courier New" w:hAnsi="Courier New" w:cs="Courier New"/>
    </w:rPr>
  </w:style>
  <w:style w:type="character" w:styleId="HTMLTypewriter">
    <w:name w:val="HTML Typewriter"/>
    <w:rsid w:val="00983C95"/>
    <w:rPr>
      <w:rFonts w:ascii="Courier New" w:hAnsi="Courier New" w:cs="Courier New"/>
      <w:sz w:val="20"/>
      <w:szCs w:val="20"/>
    </w:rPr>
  </w:style>
  <w:style w:type="character" w:styleId="HTMLVariable">
    <w:name w:val="HTML Variable"/>
    <w:rsid w:val="00983C95"/>
    <w:rPr>
      <w:i/>
      <w:iCs/>
    </w:rPr>
  </w:style>
  <w:style w:type="paragraph" w:styleId="List">
    <w:name w:val="List"/>
    <w:basedOn w:val="Normal"/>
    <w:rsid w:val="00983C95"/>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983C95"/>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983C95"/>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983C95"/>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983C95"/>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983C95"/>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983C9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983C95"/>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983C95"/>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983C95"/>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983C95"/>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983C95"/>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983C95"/>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983C95"/>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983C95"/>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983C95"/>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983C9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983C95"/>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983C95"/>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983C95"/>
    <w:rPr>
      <w:rFonts w:ascii="Arial" w:eastAsia="SimSun" w:hAnsi="Arial" w:cs="Times New Roman"/>
      <w:sz w:val="20"/>
      <w:szCs w:val="20"/>
      <w:shd w:val="pct20" w:color="auto" w:fill="auto"/>
      <w:lang w:val="en-AU" w:eastAsia="zh-CN"/>
    </w:rPr>
  </w:style>
  <w:style w:type="paragraph" w:styleId="NormalIndent">
    <w:name w:val="Normal Indent"/>
    <w:basedOn w:val="Normal"/>
    <w:rsid w:val="00983C95"/>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983C95"/>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983C95"/>
    <w:rPr>
      <w:rFonts w:ascii="Times New Roman" w:eastAsia="SimSun" w:hAnsi="Times New Roman" w:cs="Times New Roman"/>
      <w:sz w:val="20"/>
      <w:szCs w:val="20"/>
      <w:lang w:val="en-AU" w:eastAsia="zh-CN"/>
    </w:rPr>
  </w:style>
  <w:style w:type="character" w:styleId="PageNumber">
    <w:name w:val="page number"/>
    <w:rsid w:val="00983C95"/>
  </w:style>
  <w:style w:type="paragraph" w:styleId="Salutation">
    <w:name w:val="Salutation"/>
    <w:basedOn w:val="Normal"/>
    <w:next w:val="Normal"/>
    <w:link w:val="SalutationChar"/>
    <w:rsid w:val="00983C95"/>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983C95"/>
    <w:rPr>
      <w:rFonts w:ascii="Times New Roman" w:eastAsia="SimSun" w:hAnsi="Times New Roman" w:cs="Times New Roman"/>
      <w:sz w:val="20"/>
      <w:szCs w:val="20"/>
      <w:lang w:val="en-AU" w:eastAsia="zh-CN"/>
    </w:rPr>
  </w:style>
  <w:style w:type="paragraph" w:styleId="Signature">
    <w:name w:val="Signature"/>
    <w:basedOn w:val="Normal"/>
    <w:link w:val="SignatureChar"/>
    <w:rsid w:val="00983C95"/>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983C95"/>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983C95"/>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983C95"/>
    <w:rPr>
      <w:rFonts w:ascii="Arial" w:eastAsia="SimSun" w:hAnsi="Arial" w:cs="Times New Roman"/>
      <w:sz w:val="20"/>
      <w:szCs w:val="20"/>
      <w:lang w:val="en-AU" w:eastAsia="zh-CN"/>
    </w:rPr>
  </w:style>
  <w:style w:type="table" w:styleId="Table3Deffects1">
    <w:name w:val="Table 3D effects 1"/>
    <w:basedOn w:val="TableNormal"/>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983C95"/>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983C95"/>
    <w:rPr>
      <w:rFonts w:ascii="Times New Roman" w:eastAsia="SimSun" w:hAnsi="Times New Roman" w:cs="Times New Roman"/>
      <w:sz w:val="20"/>
      <w:szCs w:val="20"/>
      <w:lang w:val="en-AU" w:eastAsia="zh-CN"/>
    </w:rPr>
  </w:style>
  <w:style w:type="numbering" w:styleId="ArticleSection">
    <w:name w:val="Outline List 3"/>
    <w:basedOn w:val="NoList"/>
    <w:rsid w:val="00983C95"/>
  </w:style>
  <w:style w:type="numbering" w:styleId="1ai">
    <w:name w:val="Outline List 1"/>
    <w:basedOn w:val="NoList"/>
    <w:rsid w:val="00983C95"/>
  </w:style>
  <w:style w:type="numbering" w:styleId="111111">
    <w:name w:val="Outline List 2"/>
    <w:basedOn w:val="NoList"/>
    <w:rsid w:val="00983C95"/>
  </w:style>
  <w:style w:type="paragraph" w:customStyle="1" w:styleId="StyleText1111bulletNonGras">
    <w:name w:val="Style Text 1.1.1.1 bullet + Non Gras"/>
    <w:basedOn w:val="Normal"/>
    <w:rsid w:val="00983C95"/>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983C95"/>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983C95"/>
  </w:style>
  <w:style w:type="paragraph" w:customStyle="1" w:styleId="parai60">
    <w:name w:val="para i6"/>
    <w:basedOn w:val="Parai35"/>
    <w:rsid w:val="00983C95"/>
    <w:pPr>
      <w:ind w:left="1984" w:hanging="425"/>
    </w:pPr>
  </w:style>
  <w:style w:type="paragraph" w:customStyle="1" w:styleId="Titre1">
    <w:name w:val="Titre1"/>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983C95"/>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983C95"/>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983C95"/>
  </w:style>
  <w:style w:type="character" w:customStyle="1" w:styleId="Title5aCar">
    <w:name w:val="Title 5a Car"/>
    <w:link w:val="Title5a"/>
    <w:rsid w:val="00983C95"/>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983C95"/>
    <w:rPr>
      <w:rFonts w:ascii="Ottawa" w:eastAsia="Times New Roman" w:hAnsi="Ottawa" w:cs="Times New Roman"/>
      <w:bCs/>
      <w:i/>
      <w:sz w:val="18"/>
      <w:lang w:val="en-IE" w:bidi="en-US"/>
    </w:rPr>
  </w:style>
  <w:style w:type="character" w:customStyle="1" w:styleId="CharChar7">
    <w:name w:val="Char Char7"/>
    <w:semiHidden/>
    <w:rsid w:val="00983C95"/>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983C95"/>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983C95"/>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983C95"/>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983C9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983C95"/>
  </w:style>
  <w:style w:type="paragraph" w:customStyle="1" w:styleId="paramarge0">
    <w:name w:val="para marge"/>
    <w:rsid w:val="00983C95"/>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983C95"/>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983C95"/>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983C95"/>
    <w:rPr>
      <w:i/>
      <w:iCs/>
      <w:strike/>
      <w:dstrike w:val="0"/>
      <w:sz w:val="20"/>
      <w:szCs w:val="20"/>
      <w:lang w:val="en-US"/>
    </w:rPr>
  </w:style>
  <w:style w:type="numbering" w:customStyle="1" w:styleId="List0">
    <w:name w:val="List 0"/>
    <w:basedOn w:val="ImportedStyle1"/>
    <w:rsid w:val="00983C95"/>
  </w:style>
  <w:style w:type="numbering" w:customStyle="1" w:styleId="List1">
    <w:name w:val="List 1"/>
    <w:basedOn w:val="ImportedStyle2"/>
    <w:rsid w:val="00983C95"/>
  </w:style>
  <w:style w:type="numbering" w:customStyle="1" w:styleId="ImportedStyle2">
    <w:name w:val="Imported Style 2"/>
    <w:rsid w:val="00983C95"/>
  </w:style>
  <w:style w:type="numbering" w:customStyle="1" w:styleId="List21">
    <w:name w:val="List 21"/>
    <w:basedOn w:val="ImportedStyle3"/>
    <w:rsid w:val="00983C95"/>
  </w:style>
  <w:style w:type="numbering" w:customStyle="1" w:styleId="ImportedStyle3">
    <w:name w:val="Imported Style 3"/>
    <w:rsid w:val="00983C95"/>
  </w:style>
  <w:style w:type="character" w:customStyle="1" w:styleId="CommentTextChar2">
    <w:name w:val="Comment Text Char2"/>
    <w:uiPriority w:val="99"/>
    <w:rsid w:val="00983C95"/>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983C95"/>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983C95"/>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983C95"/>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983C95"/>
    <w:pPr>
      <w:spacing w:line="240" w:lineRule="exact"/>
    </w:pPr>
    <w:rPr>
      <w:rFonts w:ascii="Tahoma" w:eastAsia="Times New Roman" w:hAnsi="Tahoma" w:cs="Times New Roman"/>
      <w:sz w:val="20"/>
      <w:szCs w:val="20"/>
      <w:lang w:val="en-US"/>
    </w:rPr>
  </w:style>
  <w:style w:type="paragraph" w:customStyle="1" w:styleId="pBase1">
    <w:name w:val="p_Base1"/>
    <w:next w:val="Normal"/>
    <w:rsid w:val="00983C95"/>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983C95"/>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983C95"/>
    <w:rPr>
      <w:rFonts w:ascii="Times New Roman" w:eastAsia="SimSun" w:hAnsi="Times New Roman" w:cs="Times New Roman"/>
      <w:szCs w:val="20"/>
      <w:lang w:val="fr-FR" w:eastAsia="zh-CN"/>
    </w:rPr>
  </w:style>
  <w:style w:type="paragraph" w:customStyle="1" w:styleId="Times">
    <w:name w:val="Times"/>
    <w:uiPriority w:val="99"/>
    <w:qFormat/>
    <w:rsid w:val="00983C95"/>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983C95"/>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983C95"/>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983C95"/>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983C95"/>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983C95"/>
    <w:rPr>
      <w:rFonts w:ascii="Arial" w:eastAsia="Times New Roman" w:hAnsi="Arial" w:cs="Times New Roman"/>
      <w:color w:val="000000"/>
      <w:sz w:val="19"/>
      <w:szCs w:val="20"/>
      <w:lang w:val="fr-FR" w:eastAsia="en-GB"/>
    </w:rPr>
  </w:style>
  <w:style w:type="paragraph" w:customStyle="1" w:styleId="Basegras">
    <w:name w:val="Base gras"/>
    <w:rsid w:val="00983C95"/>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983C95"/>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983C95"/>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983C95"/>
    <w:rPr>
      <w:rFonts w:ascii="Calibri" w:eastAsia="Calibri" w:hAnsi="Calibri" w:cs="Times New Roman"/>
      <w:sz w:val="20"/>
      <w:szCs w:val="20"/>
      <w:lang w:val="en-GB"/>
    </w:rPr>
  </w:style>
  <w:style w:type="paragraph" w:customStyle="1" w:styleId="para2base">
    <w:name w:val="para 2. base"/>
    <w:basedOn w:val="Normal"/>
    <w:qFormat/>
    <w:rsid w:val="00983C95"/>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983C95"/>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983C95"/>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983C95"/>
    <w:rPr>
      <w:rFonts w:ascii="Century Schoolbook" w:eastAsia="Times New Roman" w:hAnsi="Century Schoolbook" w:cs="Times New Roman"/>
      <w:sz w:val="20"/>
      <w:szCs w:val="20"/>
      <w:lang w:val="en-GB"/>
    </w:rPr>
  </w:style>
  <w:style w:type="paragraph" w:customStyle="1" w:styleId="parai61">
    <w:name w:val="para i.6"/>
    <w:basedOn w:val="Parai35"/>
    <w:rsid w:val="00983C95"/>
    <w:pPr>
      <w:tabs>
        <w:tab w:val="clear" w:pos="2835"/>
        <w:tab w:val="clear" w:pos="4536"/>
      </w:tabs>
      <w:ind w:left="1984" w:hanging="425"/>
    </w:pPr>
  </w:style>
  <w:style w:type="character" w:customStyle="1" w:styleId="Policepardfaut1">
    <w:name w:val="Police par défaut1"/>
    <w:rsid w:val="00983C95"/>
  </w:style>
  <w:style w:type="character" w:customStyle="1" w:styleId="Car4">
    <w:name w:val="Car4"/>
    <w:rsid w:val="00983C95"/>
    <w:rPr>
      <w:rFonts w:ascii="Ottawa" w:hAnsi="Ottawa"/>
      <w:b/>
      <w:sz w:val="22"/>
      <w:szCs w:val="22"/>
      <w:lang w:val="en-US" w:eastAsia="en-US" w:bidi="en-US"/>
    </w:rPr>
  </w:style>
  <w:style w:type="character" w:customStyle="1" w:styleId="Car3">
    <w:name w:val="Car3"/>
    <w:rsid w:val="00983C95"/>
    <w:rPr>
      <w:rFonts w:ascii="Ottawa" w:hAnsi="Ottawa"/>
      <w:b/>
      <w:sz w:val="21"/>
      <w:szCs w:val="21"/>
      <w:lang w:val="en-US" w:eastAsia="en-US" w:bidi="en-US"/>
    </w:rPr>
  </w:style>
  <w:style w:type="character" w:customStyle="1" w:styleId="Car2">
    <w:name w:val="Car2"/>
    <w:rsid w:val="00983C95"/>
    <w:rPr>
      <w:rFonts w:ascii="Ottawa" w:hAnsi="Ottawa"/>
      <w:b/>
      <w:lang w:val="en-US" w:eastAsia="en-US" w:bidi="en-US"/>
    </w:rPr>
  </w:style>
  <w:style w:type="character" w:customStyle="1" w:styleId="Car1">
    <w:name w:val="Car1"/>
    <w:rsid w:val="00983C95"/>
    <w:rPr>
      <w:rFonts w:ascii="Ottawa" w:hAnsi="Ottawa"/>
      <w:b/>
      <w:spacing w:val="-4"/>
      <w:kern w:val="1"/>
      <w:sz w:val="18"/>
      <w:szCs w:val="22"/>
      <w:lang w:val="en-US" w:eastAsia="en-US" w:bidi="en-US"/>
    </w:rPr>
  </w:style>
  <w:style w:type="character" w:customStyle="1" w:styleId="Car">
    <w:name w:val="Car"/>
    <w:rsid w:val="00983C95"/>
    <w:rPr>
      <w:rFonts w:ascii="Ottawa" w:hAnsi="Ottawa"/>
      <w:i/>
      <w:spacing w:val="-4"/>
      <w:kern w:val="1"/>
      <w:sz w:val="18"/>
      <w:lang w:val="en-US" w:eastAsia="en-US" w:bidi="en-US"/>
    </w:rPr>
  </w:style>
  <w:style w:type="character" w:customStyle="1" w:styleId="Numrodeligne1">
    <w:name w:val="Numéro de ligne1"/>
    <w:rsid w:val="00983C95"/>
    <w:rPr>
      <w:rFonts w:ascii="Arial" w:hAnsi="Arial"/>
      <w:sz w:val="16"/>
    </w:rPr>
  </w:style>
  <w:style w:type="character" w:customStyle="1" w:styleId="Marquedecommentaire1">
    <w:name w:val="Marque de commentaire1"/>
    <w:rsid w:val="00983C95"/>
    <w:rPr>
      <w:sz w:val="16"/>
      <w:szCs w:val="16"/>
    </w:rPr>
  </w:style>
  <w:style w:type="character" w:customStyle="1" w:styleId="mathfont">
    <w:name w:val="mathfont"/>
    <w:rsid w:val="00983C95"/>
  </w:style>
  <w:style w:type="character" w:customStyle="1" w:styleId="StylePara5TradeGothicObliqueCar">
    <w:name w:val="Style Para 5 + TradeGothic Oblique Car"/>
    <w:rsid w:val="00983C95"/>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983C95"/>
    <w:rPr>
      <w:rFonts w:ascii="Ottawa" w:hAnsi="Ottawa"/>
      <w:bCs/>
      <w:i/>
      <w:sz w:val="18"/>
      <w:szCs w:val="22"/>
      <w:lang w:val="en-IE" w:eastAsia="en-US" w:bidi="en-US"/>
    </w:rPr>
  </w:style>
  <w:style w:type="character" w:customStyle="1" w:styleId="Appelnotedebasdep1">
    <w:name w:val="Appel note de bas de p.1"/>
    <w:rsid w:val="00983C95"/>
    <w:rPr>
      <w:vertAlign w:val="superscript"/>
    </w:rPr>
  </w:style>
  <w:style w:type="character" w:customStyle="1" w:styleId="Car6">
    <w:name w:val="Car6"/>
    <w:rsid w:val="00983C95"/>
    <w:rPr>
      <w:rFonts w:ascii="Calibri" w:hAnsi="Calibri"/>
      <w:sz w:val="22"/>
      <w:szCs w:val="22"/>
      <w:lang w:val="en-US" w:eastAsia="en-US" w:bidi="en-US"/>
    </w:rPr>
  </w:style>
  <w:style w:type="character" w:customStyle="1" w:styleId="Car7">
    <w:name w:val="Car7"/>
    <w:rsid w:val="00983C95"/>
    <w:rPr>
      <w:lang w:eastAsia="en-US" w:bidi="en-US"/>
    </w:rPr>
  </w:style>
  <w:style w:type="character" w:customStyle="1" w:styleId="Car5">
    <w:name w:val="Car5"/>
    <w:rsid w:val="00983C95"/>
    <w:rPr>
      <w:rFonts w:ascii="Calibri" w:hAnsi="Calibri"/>
      <w:b/>
      <w:bCs/>
      <w:lang w:val="en-US" w:eastAsia="en-US" w:bidi="en-US"/>
    </w:rPr>
  </w:style>
  <w:style w:type="character" w:customStyle="1" w:styleId="nbapihighlight">
    <w:name w:val="nbapihighlight"/>
    <w:rsid w:val="00983C95"/>
  </w:style>
  <w:style w:type="character" w:customStyle="1" w:styleId="Puces">
    <w:name w:val="Puces"/>
    <w:rsid w:val="00983C95"/>
    <w:rPr>
      <w:rFonts w:ascii="OpenSymbol" w:eastAsia="OpenSymbol" w:hAnsi="OpenSymbol" w:cs="OpenSymbol"/>
    </w:rPr>
  </w:style>
  <w:style w:type="character" w:customStyle="1" w:styleId="Lienhypertextesuivivisit1">
    <w:name w:val="Lien hypertexte suivi visité1"/>
    <w:rsid w:val="00983C95"/>
    <w:rPr>
      <w:color w:val="800080"/>
      <w:u w:val="single"/>
    </w:rPr>
  </w:style>
  <w:style w:type="character" w:customStyle="1" w:styleId="Marquedecommentaire2">
    <w:name w:val="Marque de commentaire2"/>
    <w:rsid w:val="00983C95"/>
    <w:rPr>
      <w:sz w:val="16"/>
      <w:szCs w:val="16"/>
    </w:rPr>
  </w:style>
  <w:style w:type="character" w:customStyle="1" w:styleId="Numrodeligne2">
    <w:name w:val="Numéro de ligne2"/>
    <w:rsid w:val="00983C95"/>
  </w:style>
  <w:style w:type="character" w:customStyle="1" w:styleId="ListLabel1">
    <w:name w:val="ListLabel 1"/>
    <w:rsid w:val="00983C95"/>
    <w:rPr>
      <w:rFonts w:cs="Times New Roman"/>
      <w:sz w:val="22"/>
    </w:rPr>
  </w:style>
  <w:style w:type="paragraph" w:styleId="Caption">
    <w:name w:val="caption"/>
    <w:basedOn w:val="Normal"/>
    <w:qFormat/>
    <w:rsid w:val="00983C9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983C95"/>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983C9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983C9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983C95"/>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983C95"/>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983C95"/>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983C95"/>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983C95"/>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983C95"/>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983C95"/>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983C95"/>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983C95"/>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983C95"/>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983C95"/>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983C95"/>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983C95"/>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983C95"/>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983C95"/>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983C95"/>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983C95"/>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983C95"/>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983C95"/>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983C95"/>
  </w:style>
  <w:style w:type="paragraph" w:customStyle="1" w:styleId="Textedebulles2">
    <w:name w:val="Texte de bulles2"/>
    <w:basedOn w:val="Normal"/>
    <w:rsid w:val="00983C9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983C95"/>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983C95"/>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983C95"/>
    <w:rPr>
      <w:rFonts w:ascii="Calibri" w:hAnsi="Calibri"/>
      <w:kern w:val="1"/>
      <w:lang w:val="en-US" w:eastAsia="en-US" w:bidi="en-US"/>
    </w:rPr>
  </w:style>
  <w:style w:type="paragraph" w:customStyle="1" w:styleId="A0">
    <w:name w:val="A"/>
    <w:basedOn w:val="Normal"/>
    <w:rsid w:val="00983C95"/>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983C95"/>
    <w:rPr>
      <w:vertAlign w:val="superscript"/>
    </w:rPr>
  </w:style>
  <w:style w:type="numbering" w:customStyle="1" w:styleId="Aucuneliste11">
    <w:name w:val="Aucune liste11"/>
    <w:next w:val="NoList"/>
    <w:uiPriority w:val="99"/>
    <w:semiHidden/>
    <w:unhideWhenUsed/>
    <w:rsid w:val="00983C95"/>
  </w:style>
  <w:style w:type="paragraph" w:customStyle="1" w:styleId="CM1">
    <w:name w:val="CM1"/>
    <w:basedOn w:val="Normal"/>
    <w:next w:val="Normal"/>
    <w:rsid w:val="00983C9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983C95"/>
  </w:style>
  <w:style w:type="paragraph" w:customStyle="1" w:styleId="CM8">
    <w:name w:val="CM8"/>
    <w:basedOn w:val="Normal"/>
    <w:next w:val="Normal"/>
    <w:rsid w:val="00983C9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983C95"/>
  </w:style>
  <w:style w:type="paragraph" w:customStyle="1" w:styleId="Footer1">
    <w:name w:val="Footer1"/>
    <w:uiPriority w:val="99"/>
    <w:rsid w:val="00983C95"/>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983C95"/>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983C95"/>
  </w:style>
  <w:style w:type="character" w:customStyle="1" w:styleId="iTegn">
    <w:name w:val="i) Tegn"/>
    <w:link w:val="i0"/>
    <w:rsid w:val="00983C95"/>
    <w:rPr>
      <w:rFonts w:ascii="Garamond" w:eastAsia="Times New Roman" w:hAnsi="Garamond" w:cs="Times New Roman"/>
      <w:lang w:val="en-GB" w:eastAsia="fr-FR"/>
    </w:rPr>
  </w:style>
  <w:style w:type="character" w:customStyle="1" w:styleId="journalname">
    <w:name w:val="journalname"/>
    <w:rsid w:val="00983C95"/>
  </w:style>
  <w:style w:type="numbering" w:customStyle="1" w:styleId="NoList111">
    <w:name w:val="No List111"/>
    <w:next w:val="NoList"/>
    <w:uiPriority w:val="99"/>
    <w:semiHidden/>
    <w:unhideWhenUsed/>
    <w:rsid w:val="00983C95"/>
  </w:style>
  <w:style w:type="paragraph" w:customStyle="1" w:styleId="pBase20">
    <w:name w:val="p_Base2"/>
    <w:next w:val="Normal"/>
    <w:autoRedefine/>
    <w:rsid w:val="00983C95"/>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983C95"/>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983C95"/>
    <w:pPr>
      <w:spacing w:after="240"/>
      <w:ind w:left="1418"/>
    </w:pPr>
    <w:rPr>
      <w:rFonts w:ascii="Times New Roman" w:eastAsia="MS Mincho" w:hAnsi="Times New Roman"/>
      <w:sz w:val="20"/>
      <w:lang w:bidi="ar-SA"/>
    </w:rPr>
  </w:style>
  <w:style w:type="paragraph" w:customStyle="1" w:styleId="parai2a">
    <w:name w:val="para i.2.a"/>
    <w:basedOn w:val="Parai2"/>
    <w:rsid w:val="00983C95"/>
    <w:pPr>
      <w:ind w:left="4678" w:hanging="4253"/>
    </w:pPr>
    <w:rPr>
      <w:sz w:val="20"/>
    </w:rPr>
  </w:style>
  <w:style w:type="paragraph" w:customStyle="1" w:styleId="parai3">
    <w:name w:val="para i.3"/>
    <w:basedOn w:val="Parai5"/>
    <w:rsid w:val="00983C95"/>
    <w:pPr>
      <w:ind w:left="1276"/>
    </w:pPr>
  </w:style>
  <w:style w:type="paragraph" w:customStyle="1" w:styleId="Parai4">
    <w:name w:val="Para i.4"/>
    <w:basedOn w:val="Parai5"/>
    <w:rsid w:val="00983C95"/>
    <w:pPr>
      <w:ind w:left="1417"/>
    </w:pPr>
    <w:rPr>
      <w:rFonts w:cs="Angsana New"/>
    </w:rPr>
  </w:style>
  <w:style w:type="paragraph" w:customStyle="1" w:styleId="Paragraphedeliste1">
    <w:name w:val="Paragraphe de liste1"/>
    <w:basedOn w:val="Normal"/>
    <w:qFormat/>
    <w:rsid w:val="00983C95"/>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983C95"/>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983C95"/>
    <w:rPr>
      <w:rFonts w:ascii="Arial" w:eastAsia="Times New Roman" w:hAnsi="Arial" w:cs="Times New Roman"/>
      <w:sz w:val="18"/>
      <w:lang w:val="en-IE" w:bidi="en-US"/>
    </w:rPr>
  </w:style>
  <w:style w:type="paragraph" w:styleId="NoSpacing">
    <w:name w:val="No Spacing"/>
    <w:uiPriority w:val="1"/>
    <w:qFormat/>
    <w:rsid w:val="00983C95"/>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983C95"/>
  </w:style>
  <w:style w:type="character" w:customStyle="1" w:styleId="sheader2">
    <w:name w:val="sheader2"/>
    <w:uiPriority w:val="99"/>
    <w:rsid w:val="00983C95"/>
  </w:style>
  <w:style w:type="character" w:customStyle="1" w:styleId="sheader21">
    <w:name w:val="sheader21"/>
    <w:rsid w:val="00983C95"/>
    <w:rPr>
      <w:rFonts w:ascii="Times New Roman" w:hAnsi="Times New Roman" w:cs="Times New Roman" w:hint="default"/>
      <w:sz w:val="34"/>
      <w:szCs w:val="34"/>
    </w:rPr>
  </w:style>
  <w:style w:type="character" w:customStyle="1" w:styleId="shorttext">
    <w:name w:val="short_text"/>
    <w:uiPriority w:val="99"/>
    <w:rsid w:val="00983C95"/>
  </w:style>
  <w:style w:type="character" w:customStyle="1" w:styleId="slabel1">
    <w:name w:val="slabel1"/>
    <w:uiPriority w:val="99"/>
    <w:rsid w:val="00983C95"/>
  </w:style>
  <w:style w:type="paragraph" w:customStyle="1" w:styleId="StyleChaptertitleNonToutenmajuscule">
    <w:name w:val="Style Chapter title + Non Tout en majuscule"/>
    <w:basedOn w:val="Normal"/>
    <w:link w:val="StyleChaptertitleNonToutenmajusculeCar"/>
    <w:rsid w:val="00983C95"/>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983C95"/>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983C95"/>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983C95"/>
    <w:rPr>
      <w:rFonts w:ascii="TradeGothic" w:hAnsi="TradeGothic"/>
      <w:bCs w:val="0"/>
      <w:i w:val="0"/>
      <w:iCs/>
      <w:szCs w:val="20"/>
    </w:rPr>
  </w:style>
  <w:style w:type="paragraph" w:customStyle="1" w:styleId="StyleTitre2Aprs10pt">
    <w:name w:val="Style Titre 2 + Après : 10 pt"/>
    <w:basedOn w:val="Heading2"/>
    <w:rsid w:val="00983C95"/>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983C95"/>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983C95"/>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983C95"/>
  </w:style>
  <w:style w:type="paragraph" w:customStyle="1" w:styleId="style4">
    <w:name w:val="style4"/>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983C95"/>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983C95"/>
    <w:rPr>
      <w:rFonts w:ascii="Consolas" w:eastAsia="Times New Roman" w:hAnsi="Consolas" w:cs="Consolas"/>
      <w:sz w:val="21"/>
      <w:szCs w:val="21"/>
      <w:lang w:val="en-GB"/>
    </w:rPr>
  </w:style>
  <w:style w:type="paragraph" w:customStyle="1" w:styleId="Timespbasegras">
    <w:name w:val="Times p_base gras"/>
    <w:basedOn w:val="Normal"/>
    <w:qFormat/>
    <w:rsid w:val="00983C95"/>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983C95"/>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983C95"/>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983C95"/>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983C95"/>
    <w:pPr>
      <w:ind w:left="992"/>
    </w:pPr>
  </w:style>
  <w:style w:type="paragraph" w:customStyle="1" w:styleId="CarCar2Char">
    <w:name w:val="Car Car2 Char"/>
    <w:basedOn w:val="Normal"/>
    <w:rsid w:val="00983C95"/>
    <w:pPr>
      <w:spacing w:line="240" w:lineRule="exact"/>
    </w:pPr>
    <w:rPr>
      <w:rFonts w:ascii="Tahoma" w:eastAsia="Times New Roman" w:hAnsi="Tahoma" w:cs="Times New Roman"/>
      <w:sz w:val="20"/>
      <w:szCs w:val="20"/>
      <w:lang w:val="en-US"/>
    </w:rPr>
  </w:style>
  <w:style w:type="paragraph" w:customStyle="1" w:styleId="nom">
    <w:name w:val="nom"/>
    <w:basedOn w:val="Normal"/>
    <w:rsid w:val="00983C95"/>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983C95"/>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983C95"/>
  </w:style>
  <w:style w:type="character" w:customStyle="1" w:styleId="WW-Absatz-Standardschriftart">
    <w:name w:val="WW-Absatz-Standardschriftart"/>
    <w:rsid w:val="00983C95"/>
  </w:style>
  <w:style w:type="character" w:customStyle="1" w:styleId="WW-Absatz-Standardschriftart1">
    <w:name w:val="WW-Absatz-Standardschriftart1"/>
    <w:rsid w:val="00983C95"/>
  </w:style>
  <w:style w:type="character" w:customStyle="1" w:styleId="WW-Absatz-Standardschriftart11">
    <w:name w:val="WW-Absatz-Standardschriftart11"/>
    <w:rsid w:val="00983C95"/>
  </w:style>
  <w:style w:type="character" w:customStyle="1" w:styleId="WW-Absatz-Standardschriftart111">
    <w:name w:val="WW-Absatz-Standardschriftart111"/>
    <w:rsid w:val="00983C95"/>
  </w:style>
  <w:style w:type="character" w:customStyle="1" w:styleId="WW-Absatz-Standardschriftart1111">
    <w:name w:val="WW-Absatz-Standardschriftart1111"/>
    <w:rsid w:val="00983C95"/>
  </w:style>
  <w:style w:type="character" w:customStyle="1" w:styleId="WW-Absatz-Standardschriftart11111">
    <w:name w:val="WW-Absatz-Standardschriftart11111"/>
    <w:rsid w:val="00983C95"/>
  </w:style>
  <w:style w:type="character" w:customStyle="1" w:styleId="FootnoteCharacters">
    <w:name w:val="Footnote Characters"/>
    <w:rsid w:val="00983C95"/>
    <w:rPr>
      <w:vertAlign w:val="superscript"/>
    </w:rPr>
  </w:style>
  <w:style w:type="paragraph" w:customStyle="1" w:styleId="CarCar1CharCarCarCharCharCarCarCharCarCar">
    <w:name w:val="Car Car1 Char Car Car Char Char Car Car Char Car Car"/>
    <w:basedOn w:val="Normal"/>
    <w:rsid w:val="00983C95"/>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983C95"/>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983C95"/>
  </w:style>
  <w:style w:type="paragraph" w:customStyle="1" w:styleId="CharChar1">
    <w:name w:val="Char Char1"/>
    <w:basedOn w:val="Normal"/>
    <w:rsid w:val="00983C95"/>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983C95"/>
    <w:pPr>
      <w:spacing w:after="0" w:line="240" w:lineRule="auto"/>
    </w:pPr>
    <w:rPr>
      <w:rFonts w:ascii="Arial" w:eastAsia="Times New Roman" w:hAnsi="Arial" w:cs="Times New Roman"/>
      <w:szCs w:val="20"/>
      <w:lang w:val="en-AU"/>
    </w:rPr>
  </w:style>
  <w:style w:type="paragraph" w:customStyle="1" w:styleId="CharChar">
    <w:name w:val="Char Char"/>
    <w:basedOn w:val="Normal"/>
    <w:rsid w:val="00983C95"/>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983C95"/>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uiPriority w:val="9"/>
    <w:qFormat/>
    <w:rsid w:val="00983C95"/>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983C95"/>
  </w:style>
  <w:style w:type="paragraph" w:customStyle="1" w:styleId="a1">
    <w:name w:val="a)"/>
    <w:basedOn w:val="Normal"/>
    <w:rsid w:val="00983C95"/>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983C95"/>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983C9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983C9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983C95"/>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983C95"/>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983C95"/>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983C95"/>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983C95"/>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983C95"/>
  </w:style>
  <w:style w:type="paragraph" w:customStyle="1" w:styleId="citation">
    <w:name w:val="citation"/>
    <w:basedOn w:val="Normal"/>
    <w:rsid w:val="00983C9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983C9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983C95"/>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983C95"/>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983C95"/>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983C95"/>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983C9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983C9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983C9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983C9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983C95"/>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983C95"/>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983C95"/>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983C95"/>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983C95"/>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983C95"/>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983C95"/>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983C95"/>
    <w:rPr>
      <w:rFonts w:ascii="Arial" w:eastAsia="Times New Roman" w:hAnsi="Arial" w:cs="Times New Roman"/>
      <w:sz w:val="18"/>
      <w:szCs w:val="18"/>
      <w:lang w:val="x-none"/>
    </w:rPr>
  </w:style>
  <w:style w:type="character" w:customStyle="1" w:styleId="Marquedecommentaire3">
    <w:name w:val="Marque de commentaire3"/>
    <w:rsid w:val="00983C95"/>
    <w:rPr>
      <w:sz w:val="16"/>
      <w:szCs w:val="16"/>
    </w:rPr>
  </w:style>
  <w:style w:type="character" w:customStyle="1" w:styleId="Lienhypertextesuivivisit2">
    <w:name w:val="Lien hypertexte suivi visité2"/>
    <w:rsid w:val="00983C95"/>
    <w:rPr>
      <w:color w:val="800080"/>
      <w:u w:val="single"/>
    </w:rPr>
  </w:style>
  <w:style w:type="paragraph" w:customStyle="1" w:styleId="Commentaire3">
    <w:name w:val="Commentaire3"/>
    <w:basedOn w:val="Normal"/>
    <w:rsid w:val="00983C95"/>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983C95"/>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983C95"/>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983C95"/>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983C95"/>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983C95"/>
  </w:style>
  <w:style w:type="character" w:customStyle="1" w:styleId="s8">
    <w:name w:val="s8"/>
    <w:basedOn w:val="DefaultParagraphFont"/>
    <w:rsid w:val="00983C95"/>
  </w:style>
  <w:style w:type="character" w:customStyle="1" w:styleId="WW8Num5z0">
    <w:name w:val="WW8Num5z0"/>
    <w:rsid w:val="00983C95"/>
    <w:rPr>
      <w:rFonts w:ascii="Times New Roman" w:hAnsi="Times New Roman" w:cs="Times New Roman"/>
      <w:sz w:val="20"/>
    </w:rPr>
  </w:style>
  <w:style w:type="character" w:customStyle="1" w:styleId="WW8Num7z0">
    <w:name w:val="WW8Num7z0"/>
    <w:rsid w:val="00983C95"/>
    <w:rPr>
      <w:rFonts w:ascii="Symbol" w:hAnsi="Symbol" w:cs="Symbol"/>
    </w:rPr>
  </w:style>
  <w:style w:type="character" w:customStyle="1" w:styleId="WW8Num7z1">
    <w:name w:val="WW8Num7z1"/>
    <w:rsid w:val="00983C95"/>
    <w:rPr>
      <w:rFonts w:ascii="Courier New" w:hAnsi="Courier New" w:cs="Courier New"/>
    </w:rPr>
  </w:style>
  <w:style w:type="character" w:customStyle="1" w:styleId="Carpredefinitoparagrafo">
    <w:name w:val="Car. predefinito paragrafo"/>
    <w:rsid w:val="00983C95"/>
  </w:style>
  <w:style w:type="character" w:customStyle="1" w:styleId="DefaultParagraphFont1">
    <w:name w:val="Default Paragraph Font1"/>
    <w:rsid w:val="00983C95"/>
  </w:style>
  <w:style w:type="character" w:customStyle="1" w:styleId="WW8Num8z0">
    <w:name w:val="WW8Num8z0"/>
    <w:rsid w:val="00983C95"/>
    <w:rPr>
      <w:rFonts w:ascii="Symbol" w:hAnsi="Symbol" w:cs="Symbol"/>
    </w:rPr>
  </w:style>
  <w:style w:type="character" w:customStyle="1" w:styleId="WW8Num8z1">
    <w:name w:val="WW8Num8z1"/>
    <w:rsid w:val="00983C95"/>
    <w:rPr>
      <w:rFonts w:ascii="Courier New" w:hAnsi="Courier New" w:cs="Courier New"/>
    </w:rPr>
  </w:style>
  <w:style w:type="character" w:customStyle="1" w:styleId="WW8Num8z2">
    <w:name w:val="WW8Num8z2"/>
    <w:rsid w:val="00983C95"/>
    <w:rPr>
      <w:rFonts w:ascii="Wingdings" w:hAnsi="Wingdings" w:cs="Wingdings"/>
    </w:rPr>
  </w:style>
  <w:style w:type="character" w:customStyle="1" w:styleId="WW8Num1z0">
    <w:name w:val="WW8Num1z0"/>
    <w:rsid w:val="00983C95"/>
    <w:rPr>
      <w:rFonts w:ascii="Symbol" w:hAnsi="Symbol" w:cs="Symbol"/>
    </w:rPr>
  </w:style>
  <w:style w:type="character" w:customStyle="1" w:styleId="WW8Num2z0">
    <w:name w:val="WW8Num2z0"/>
    <w:rsid w:val="00983C95"/>
    <w:rPr>
      <w:rFonts w:ascii="Symbol" w:hAnsi="Symbol" w:cs="Symbol"/>
    </w:rPr>
  </w:style>
  <w:style w:type="character" w:customStyle="1" w:styleId="WW8Num3z0">
    <w:name w:val="WW8Num3z0"/>
    <w:rsid w:val="00983C95"/>
    <w:rPr>
      <w:rFonts w:ascii="Times New Roman" w:hAnsi="Times New Roman" w:cs="Times New Roman"/>
      <w:sz w:val="24"/>
    </w:rPr>
  </w:style>
  <w:style w:type="character" w:customStyle="1" w:styleId="WW8Num4z1">
    <w:name w:val="WW8Num4z1"/>
    <w:rsid w:val="00983C95"/>
    <w:rPr>
      <w:rFonts w:ascii="Courier New" w:hAnsi="Courier New" w:cs="Courier New"/>
      <w:sz w:val="20"/>
    </w:rPr>
  </w:style>
  <w:style w:type="character" w:customStyle="1" w:styleId="WW8Num6z0">
    <w:name w:val="WW8Num6z0"/>
    <w:rsid w:val="00983C95"/>
    <w:rPr>
      <w:rFonts w:ascii="Symbol" w:hAnsi="Symbol" w:cs="Symbol"/>
    </w:rPr>
  </w:style>
  <w:style w:type="character" w:customStyle="1" w:styleId="WW8Num6z1">
    <w:name w:val="WW8Num6z1"/>
    <w:rsid w:val="00983C95"/>
    <w:rPr>
      <w:rFonts w:ascii="Courier New" w:hAnsi="Courier New" w:cs="Courier New"/>
    </w:rPr>
  </w:style>
  <w:style w:type="character" w:customStyle="1" w:styleId="WW8Num6z2">
    <w:name w:val="WW8Num6z2"/>
    <w:rsid w:val="00983C95"/>
    <w:rPr>
      <w:rFonts w:ascii="Wingdings" w:hAnsi="Wingdings" w:cs="Wingdings"/>
    </w:rPr>
  </w:style>
  <w:style w:type="character" w:customStyle="1" w:styleId="WW8Num7z2">
    <w:name w:val="WW8Num7z2"/>
    <w:rsid w:val="00983C95"/>
    <w:rPr>
      <w:rFonts w:ascii="Wingdings" w:hAnsi="Wingdings" w:cs="Wingdings"/>
    </w:rPr>
  </w:style>
  <w:style w:type="character" w:customStyle="1" w:styleId="WW8Num14z0">
    <w:name w:val="WW8Num14z0"/>
    <w:rsid w:val="00983C95"/>
    <w:rPr>
      <w:rFonts w:ascii="Symbol" w:hAnsi="Symbol" w:cs="Symbol"/>
    </w:rPr>
  </w:style>
  <w:style w:type="character" w:customStyle="1" w:styleId="WW8Num14z1">
    <w:name w:val="WW8Num14z1"/>
    <w:rsid w:val="00983C95"/>
    <w:rPr>
      <w:rFonts w:ascii="Courier New" w:hAnsi="Courier New" w:cs="Courier New"/>
    </w:rPr>
  </w:style>
  <w:style w:type="character" w:customStyle="1" w:styleId="WW8Num14z2">
    <w:name w:val="WW8Num14z2"/>
    <w:rsid w:val="00983C95"/>
    <w:rPr>
      <w:rFonts w:ascii="Wingdings" w:hAnsi="Wingdings" w:cs="Wingdings"/>
    </w:rPr>
  </w:style>
  <w:style w:type="character" w:customStyle="1" w:styleId="WW8Num16z0">
    <w:name w:val="WW8Num16z0"/>
    <w:rsid w:val="00983C95"/>
    <w:rPr>
      <w:rFonts w:ascii="Symbol" w:hAnsi="Symbol" w:cs="Symbol"/>
      <w:color w:val="auto"/>
    </w:rPr>
  </w:style>
  <w:style w:type="character" w:customStyle="1" w:styleId="FootnoteReference1">
    <w:name w:val="Footnote Reference1"/>
    <w:rsid w:val="00983C95"/>
    <w:rPr>
      <w:vertAlign w:val="superscript"/>
    </w:rPr>
  </w:style>
  <w:style w:type="character" w:customStyle="1" w:styleId="EndnoteCharacters">
    <w:name w:val="Endnote Characters"/>
    <w:rsid w:val="00983C95"/>
    <w:rPr>
      <w:vertAlign w:val="superscript"/>
    </w:rPr>
  </w:style>
  <w:style w:type="character" w:customStyle="1" w:styleId="WW-EndnoteCharacters">
    <w:name w:val="WW-Endnote Characters"/>
    <w:rsid w:val="00983C95"/>
  </w:style>
  <w:style w:type="character" w:customStyle="1" w:styleId="Bullets">
    <w:name w:val="Bullets"/>
    <w:rsid w:val="00983C95"/>
    <w:rPr>
      <w:rFonts w:ascii="OpenSymbol" w:eastAsia="OpenSymbol" w:hAnsi="OpenSymbol" w:cs="OpenSymbol"/>
    </w:rPr>
  </w:style>
  <w:style w:type="character" w:customStyle="1" w:styleId="EndnoteReference1">
    <w:name w:val="Endnote Reference1"/>
    <w:rsid w:val="00983C95"/>
    <w:rPr>
      <w:vertAlign w:val="superscript"/>
    </w:rPr>
  </w:style>
  <w:style w:type="character" w:customStyle="1" w:styleId="CommentReference1">
    <w:name w:val="Comment Reference1"/>
    <w:rsid w:val="00983C95"/>
    <w:rPr>
      <w:sz w:val="16"/>
      <w:szCs w:val="16"/>
    </w:rPr>
  </w:style>
  <w:style w:type="character" w:customStyle="1" w:styleId="Caratteredellanota">
    <w:name w:val="Carattere della nota"/>
    <w:rsid w:val="00983C95"/>
    <w:rPr>
      <w:vertAlign w:val="superscript"/>
    </w:rPr>
  </w:style>
  <w:style w:type="character" w:customStyle="1" w:styleId="Caratterenotadichiusura">
    <w:name w:val="Carattere nota di chiusura"/>
    <w:rsid w:val="00983C95"/>
    <w:rPr>
      <w:vertAlign w:val="superscript"/>
    </w:rPr>
  </w:style>
  <w:style w:type="character" w:customStyle="1" w:styleId="Rimandonotaapidipagina">
    <w:name w:val="Rimando nota a piè di pagina"/>
    <w:rsid w:val="00983C95"/>
    <w:rPr>
      <w:vertAlign w:val="superscript"/>
    </w:rPr>
  </w:style>
  <w:style w:type="character" w:customStyle="1" w:styleId="Rimandonotadichiusura">
    <w:name w:val="Rimando nota di chiusura"/>
    <w:rsid w:val="00983C95"/>
    <w:rPr>
      <w:vertAlign w:val="superscript"/>
    </w:rPr>
  </w:style>
  <w:style w:type="character" w:customStyle="1" w:styleId="TestofumettoCarattere">
    <w:name w:val="Testo fumetto Carattere"/>
    <w:rsid w:val="00983C95"/>
    <w:rPr>
      <w:rFonts w:ascii="Tahoma" w:eastAsia="MS Mincho" w:hAnsi="Tahoma" w:cs="Tahoma"/>
      <w:sz w:val="16"/>
      <w:szCs w:val="16"/>
      <w:lang w:val="en-AU"/>
    </w:rPr>
  </w:style>
  <w:style w:type="character" w:customStyle="1" w:styleId="Rimandocommento">
    <w:name w:val="Rimando commento"/>
    <w:rsid w:val="00983C95"/>
    <w:rPr>
      <w:sz w:val="16"/>
      <w:szCs w:val="16"/>
    </w:rPr>
  </w:style>
  <w:style w:type="character" w:customStyle="1" w:styleId="TestocommentoCarattere">
    <w:name w:val="Testo commento Carattere"/>
    <w:rsid w:val="00983C95"/>
    <w:rPr>
      <w:rFonts w:eastAsia="MS Mincho"/>
      <w:lang w:val="en-AU"/>
    </w:rPr>
  </w:style>
  <w:style w:type="character" w:customStyle="1" w:styleId="SoggettocommentoCarattere">
    <w:name w:val="Soggetto commento Carattere"/>
    <w:rsid w:val="00983C95"/>
    <w:rPr>
      <w:rFonts w:eastAsia="MS Mincho"/>
      <w:b/>
      <w:bCs/>
      <w:lang w:val="en-AU"/>
    </w:rPr>
  </w:style>
  <w:style w:type="character" w:customStyle="1" w:styleId="WW8Num9z0">
    <w:name w:val="WW8Num9z0"/>
    <w:rsid w:val="00983C95"/>
    <w:rPr>
      <w:rFonts w:ascii="Symbol" w:hAnsi="Symbol" w:cs="OpenSymbol"/>
    </w:rPr>
  </w:style>
  <w:style w:type="character" w:customStyle="1" w:styleId="WW8Num9z1">
    <w:name w:val="WW8Num9z1"/>
    <w:rsid w:val="00983C95"/>
    <w:rPr>
      <w:rFonts w:ascii="OpenSymbol" w:hAnsi="OpenSymbol" w:cs="OpenSymbol"/>
    </w:rPr>
  </w:style>
  <w:style w:type="character" w:customStyle="1" w:styleId="WW8Num10z0">
    <w:name w:val="WW8Num10z0"/>
    <w:rsid w:val="00983C95"/>
    <w:rPr>
      <w:rFonts w:ascii="Symbol" w:hAnsi="Symbol" w:cs="OpenSymbol"/>
    </w:rPr>
  </w:style>
  <w:style w:type="character" w:customStyle="1" w:styleId="WW8Num10z1">
    <w:name w:val="WW8Num10z1"/>
    <w:rsid w:val="00983C95"/>
    <w:rPr>
      <w:rFonts w:ascii="OpenSymbol" w:hAnsi="OpenSymbol" w:cs="OpenSymbol"/>
    </w:rPr>
  </w:style>
  <w:style w:type="character" w:customStyle="1" w:styleId="WW8Num11z0">
    <w:name w:val="WW8Num11z0"/>
    <w:rsid w:val="00983C95"/>
    <w:rPr>
      <w:rFonts w:ascii="Symbol" w:hAnsi="Symbol" w:cs="OpenSymbol"/>
    </w:rPr>
  </w:style>
  <w:style w:type="character" w:customStyle="1" w:styleId="WW8Num11z1">
    <w:name w:val="WW8Num11z1"/>
    <w:rsid w:val="00983C95"/>
    <w:rPr>
      <w:rFonts w:ascii="OpenSymbol" w:hAnsi="OpenSymbol" w:cs="OpenSymbol"/>
    </w:rPr>
  </w:style>
  <w:style w:type="paragraph" w:customStyle="1" w:styleId="Caption2">
    <w:name w:val="Caption2"/>
    <w:basedOn w:val="Normal"/>
    <w:rsid w:val="00983C9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983C95"/>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983C95"/>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983C95"/>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983C9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983C95"/>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983C95"/>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983C95"/>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983C95"/>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983C95"/>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983C95"/>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983C95"/>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983C95"/>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983C95"/>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983C95"/>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983C95"/>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983C95"/>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983C95"/>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983C95"/>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983C95"/>
    <w:pPr>
      <w:suppressAutoHyphens/>
      <w:autoSpaceDN/>
      <w:adjustRightInd/>
      <w:ind w:left="426"/>
    </w:pPr>
    <w:rPr>
      <w:rFonts w:eastAsia="Times New Roman"/>
      <w:u w:color="000000"/>
      <w:lang w:eastAsia="ar-SA"/>
    </w:rPr>
  </w:style>
  <w:style w:type="paragraph" w:customStyle="1" w:styleId="puceM">
    <w:name w:val="puceM"/>
    <w:basedOn w:val="Normal"/>
    <w:rsid w:val="00983C95"/>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983C95"/>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983C95"/>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983C95"/>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983C9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983C95"/>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983C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983C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983C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983C95"/>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983C95"/>
    <w:pPr>
      <w:jc w:val="center"/>
    </w:pPr>
    <w:rPr>
      <w:b/>
      <w:bCs/>
    </w:rPr>
  </w:style>
  <w:style w:type="paragraph" w:customStyle="1" w:styleId="Testofumetto">
    <w:name w:val="Testo fumetto"/>
    <w:basedOn w:val="Normal"/>
    <w:rsid w:val="00983C9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983C9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983C95"/>
    <w:rPr>
      <w:b/>
      <w:bCs/>
    </w:rPr>
  </w:style>
  <w:style w:type="paragraph" w:customStyle="1" w:styleId="DefaultLTGliederung1">
    <w:name w:val="Default~LT~Gliederung 1"/>
    <w:rsid w:val="00983C9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983C95"/>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983C95"/>
    <w:rPr>
      <w:rFonts w:eastAsia="MS Mincho"/>
      <w:b/>
      <w:bCs/>
      <w:lang w:val="en-AU" w:eastAsia="ar-SA"/>
    </w:rPr>
  </w:style>
  <w:style w:type="character" w:customStyle="1" w:styleId="Corpsdetexte2Car1">
    <w:name w:val="Corps de texte 2 Car1"/>
    <w:uiPriority w:val="99"/>
    <w:semiHidden/>
    <w:rsid w:val="00983C95"/>
    <w:rPr>
      <w:rFonts w:eastAsia="MS Mincho"/>
      <w:lang w:val="en-AU" w:eastAsia="ar-SA"/>
    </w:rPr>
  </w:style>
  <w:style w:type="paragraph" w:customStyle="1" w:styleId="xl64">
    <w:name w:val="xl64"/>
    <w:basedOn w:val="Normal"/>
    <w:rsid w:val="00983C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983C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983C9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983C9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983C95"/>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983C9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983C9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983C9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983C9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983C9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983C9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983C9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983C9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983C95"/>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983C9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983C95"/>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983C95"/>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983C9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983C95"/>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983C95"/>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983C9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983C95"/>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983C95"/>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983C9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983C9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983C95"/>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983C95"/>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983C9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983C95"/>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983C95"/>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983C9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983C95"/>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983C9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983C95"/>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983C95"/>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983C9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983C9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983C95"/>
    <w:rPr>
      <w:rFonts w:eastAsia="MS Mincho"/>
      <w:lang w:eastAsia="ar-SA"/>
    </w:rPr>
  </w:style>
  <w:style w:type="paragraph" w:customStyle="1" w:styleId="paramarge1">
    <w:name w:val="paramarge"/>
    <w:basedOn w:val="Normal"/>
    <w:uiPriority w:val="99"/>
    <w:semiHidden/>
    <w:rsid w:val="00983C95"/>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983C95"/>
  </w:style>
  <w:style w:type="paragraph" w:styleId="TOCHeading">
    <w:name w:val="TOC Heading"/>
    <w:basedOn w:val="Heading1"/>
    <w:next w:val="Normal"/>
    <w:uiPriority w:val="39"/>
    <w:unhideWhenUsed/>
    <w:qFormat/>
    <w:rsid w:val="00983C95"/>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983C95"/>
  </w:style>
  <w:style w:type="numbering" w:customStyle="1" w:styleId="Aucuneliste4">
    <w:name w:val="Aucune liste4"/>
    <w:next w:val="NoList"/>
    <w:uiPriority w:val="99"/>
    <w:semiHidden/>
    <w:unhideWhenUsed/>
    <w:rsid w:val="00983C95"/>
  </w:style>
  <w:style w:type="table" w:customStyle="1" w:styleId="Grilledutableau2">
    <w:name w:val="Grille du tableau2"/>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83C95"/>
  </w:style>
  <w:style w:type="numbering" w:customStyle="1" w:styleId="1ai1">
    <w:name w:val="1 / a / i1"/>
    <w:basedOn w:val="NoList"/>
    <w:next w:val="1ai"/>
    <w:rsid w:val="00983C95"/>
  </w:style>
  <w:style w:type="numbering" w:customStyle="1" w:styleId="1111111">
    <w:name w:val="1 / 1.1 / 1.1.11"/>
    <w:basedOn w:val="NoList"/>
    <w:next w:val="111111"/>
    <w:rsid w:val="00983C95"/>
  </w:style>
  <w:style w:type="numbering" w:customStyle="1" w:styleId="Aucuneliste5">
    <w:name w:val="Aucune liste5"/>
    <w:next w:val="NoList"/>
    <w:uiPriority w:val="99"/>
    <w:semiHidden/>
    <w:unhideWhenUsed/>
    <w:rsid w:val="00983C95"/>
  </w:style>
  <w:style w:type="table" w:customStyle="1" w:styleId="Grilledutableau3">
    <w:name w:val="Grille du tableau3"/>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983C95"/>
  </w:style>
  <w:style w:type="table" w:customStyle="1" w:styleId="Grilledutableau4">
    <w:name w:val="Grille du tableau4"/>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983C95"/>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983C95"/>
    <w:rPr>
      <w:b w:val="0"/>
      <w:i/>
      <w:lang w:val="en-IE"/>
    </w:rPr>
  </w:style>
  <w:style w:type="paragraph" w:customStyle="1" w:styleId="1111110">
    <w:name w:val="1.1.1.1.1.1."/>
    <w:basedOn w:val="11111"/>
    <w:qFormat/>
    <w:rsid w:val="00983C95"/>
    <w:pPr>
      <w:ind w:left="851"/>
    </w:pPr>
  </w:style>
  <w:style w:type="numbering" w:customStyle="1" w:styleId="Aucuneliste7">
    <w:name w:val="Aucune liste7"/>
    <w:next w:val="NoList"/>
    <w:uiPriority w:val="99"/>
    <w:semiHidden/>
    <w:unhideWhenUsed/>
    <w:rsid w:val="00983C95"/>
  </w:style>
  <w:style w:type="numbering" w:customStyle="1" w:styleId="Aucuneliste8">
    <w:name w:val="Aucune liste8"/>
    <w:next w:val="NoList"/>
    <w:uiPriority w:val="99"/>
    <w:semiHidden/>
    <w:unhideWhenUsed/>
    <w:rsid w:val="00983C95"/>
  </w:style>
  <w:style w:type="character" w:customStyle="1" w:styleId="ChaptertitleCar">
    <w:name w:val="Chapter title Car"/>
    <w:link w:val="Chaptertitle"/>
    <w:rsid w:val="00983C95"/>
    <w:rPr>
      <w:rFonts w:ascii="Ottawa" w:eastAsia="Times New Roman" w:hAnsi="Ottawa" w:cs="Times New Roman"/>
      <w:bCs/>
      <w:iCs/>
      <w:caps/>
      <w:spacing w:val="40"/>
      <w:sz w:val="24"/>
      <w:szCs w:val="24"/>
      <w:lang w:bidi="en-US"/>
    </w:rPr>
  </w:style>
  <w:style w:type="character" w:customStyle="1" w:styleId="Para4Car">
    <w:name w:val="Para 4 Car"/>
    <w:link w:val="Para4"/>
    <w:rsid w:val="00983C95"/>
    <w:rPr>
      <w:rFonts w:ascii="Arial" w:eastAsia="Times New Roman" w:hAnsi="Arial" w:cs="Times New Roman"/>
      <w:bCs/>
      <w:sz w:val="18"/>
      <w:lang w:val="en-IE" w:eastAsia="fr-FR"/>
    </w:rPr>
  </w:style>
  <w:style w:type="character" w:customStyle="1" w:styleId="Parai5Car">
    <w:name w:val="Para i.5 Car"/>
    <w:link w:val="Parai5"/>
    <w:rsid w:val="00983C95"/>
    <w:rPr>
      <w:rFonts w:ascii="Arial" w:eastAsia="Times New Roman" w:hAnsi="Arial" w:cs="Times New Roman"/>
      <w:bCs/>
      <w:sz w:val="18"/>
      <w:lang w:val="en-IE" w:bidi="en-US"/>
    </w:rPr>
  </w:style>
  <w:style w:type="character" w:customStyle="1" w:styleId="BuffertextCar">
    <w:name w:val="Buffer text Car"/>
    <w:link w:val="Buffertext"/>
    <w:rsid w:val="00983C95"/>
    <w:rPr>
      <w:rFonts w:ascii="Arial" w:eastAsia="Times New Roman" w:hAnsi="Arial" w:cs="Arial"/>
      <w:bCs/>
      <w:sz w:val="18"/>
      <w:lang w:val="pt-BR" w:bidi="en-US"/>
    </w:rPr>
  </w:style>
  <w:style w:type="paragraph" w:customStyle="1" w:styleId="Diseasename">
    <w:name w:val="Disease name"/>
    <w:basedOn w:val="Normal"/>
    <w:qFormat/>
    <w:rsid w:val="00983C95"/>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983C95"/>
    <w:rPr>
      <w:rFonts w:ascii="Arial" w:eastAsia="Times New Roman" w:hAnsi="Arial" w:cs="Times New Roman"/>
      <w:sz w:val="18"/>
      <w:lang w:val="en-IE"/>
    </w:rPr>
  </w:style>
  <w:style w:type="character" w:customStyle="1" w:styleId="TabletitleCar">
    <w:name w:val="Table title Car"/>
    <w:link w:val="Tabletitle"/>
    <w:rsid w:val="00983C95"/>
    <w:rPr>
      <w:rFonts w:ascii="Ottawa" w:eastAsia="Times New Roman" w:hAnsi="Ottawa" w:cs="Times New Roman"/>
      <w:b/>
      <w:bCs/>
      <w:i/>
      <w:sz w:val="18"/>
      <w:lang w:val="en-IE" w:bidi="en-US"/>
    </w:rPr>
  </w:style>
  <w:style w:type="character" w:customStyle="1" w:styleId="TableHeadCar">
    <w:name w:val="Table Head Car"/>
    <w:link w:val="TableHead"/>
    <w:rsid w:val="00983C95"/>
    <w:rPr>
      <w:rFonts w:ascii="Ottawa" w:eastAsia="Times New Roman" w:hAnsi="Ottawa" w:cs="Times New Roman"/>
      <w:b/>
      <w:bCs/>
      <w:sz w:val="18"/>
      <w:lang w:val="en-IE" w:bidi="en-US"/>
    </w:rPr>
  </w:style>
  <w:style w:type="character" w:customStyle="1" w:styleId="buffertextlastCar">
    <w:name w:val="buffer text last Car"/>
    <w:link w:val="buffertextlast"/>
    <w:rsid w:val="00983C95"/>
    <w:rPr>
      <w:rFonts w:ascii="Arial" w:eastAsia="Times New Roman" w:hAnsi="Arial" w:cs="Arial"/>
      <w:bCs/>
      <w:sz w:val="18"/>
      <w:szCs w:val="18"/>
      <w:lang w:val="pt-BR" w:bidi="en-US"/>
    </w:rPr>
  </w:style>
  <w:style w:type="paragraph" w:customStyle="1" w:styleId="Title6a">
    <w:name w:val="Title 6a"/>
    <w:basedOn w:val="Title5a"/>
    <w:rsid w:val="00983C95"/>
    <w:pPr>
      <w:ind w:left="1559"/>
    </w:pPr>
    <w:rPr>
      <w:szCs w:val="20"/>
    </w:rPr>
  </w:style>
  <w:style w:type="paragraph" w:customStyle="1" w:styleId="Footnote">
    <w:name w:val="Footnote"/>
    <w:basedOn w:val="Note"/>
    <w:rsid w:val="00983C95"/>
    <w:pPr>
      <w:spacing w:before="120" w:after="120"/>
      <w:jc w:val="center"/>
    </w:pPr>
    <w:rPr>
      <w:rFonts w:ascii="Arial" w:hAnsi="Arial"/>
    </w:rPr>
  </w:style>
  <w:style w:type="paragraph" w:styleId="DocumentMap">
    <w:name w:val="Document Map"/>
    <w:basedOn w:val="Normal"/>
    <w:link w:val="DocumentMapChar"/>
    <w:semiHidden/>
    <w:rsid w:val="00983C95"/>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983C95"/>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983C95"/>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983C95"/>
    <w:rPr>
      <w:color w:val="808080"/>
    </w:rPr>
  </w:style>
  <w:style w:type="paragraph" w:customStyle="1" w:styleId="xgmail-para11">
    <w:name w:val="x_gmail-para11"/>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983C95"/>
    <w:pPr>
      <w:ind w:left="1276"/>
    </w:pPr>
  </w:style>
  <w:style w:type="character" w:customStyle="1" w:styleId="CommentaireCar2">
    <w:name w:val="Commentaire Car2"/>
    <w:uiPriority w:val="99"/>
    <w:rsid w:val="00983C95"/>
    <w:rPr>
      <w:rFonts w:eastAsia="MS Mincho"/>
      <w:lang w:val="fr-FR" w:eastAsia="ja-JP" w:bidi="ar-SA"/>
    </w:rPr>
  </w:style>
  <w:style w:type="character" w:customStyle="1" w:styleId="Para6Car">
    <w:name w:val="Para 6 Car"/>
    <w:rsid w:val="00983C95"/>
    <w:rPr>
      <w:rFonts w:ascii="Arial" w:hAnsi="Arial"/>
      <w:bCs/>
      <w:sz w:val="18"/>
      <w:szCs w:val="22"/>
      <w:lang w:val="en-IE" w:eastAsia="en-US" w:bidi="en-US"/>
    </w:rPr>
  </w:style>
  <w:style w:type="character" w:customStyle="1" w:styleId="iCar0">
    <w:name w:val="i) Car"/>
    <w:rsid w:val="00983C95"/>
    <w:rPr>
      <w:rFonts w:ascii="Garamond" w:hAnsi="Garamond"/>
      <w:sz w:val="22"/>
      <w:szCs w:val="22"/>
      <w:lang w:val="en-GB" w:eastAsia="fr-FR" w:bidi="en-US"/>
    </w:rPr>
  </w:style>
  <w:style w:type="paragraph" w:customStyle="1" w:styleId="Appendixname">
    <w:name w:val="Appendix name"/>
    <w:basedOn w:val="Normal"/>
    <w:qFormat/>
    <w:rsid w:val="00983C95"/>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983C95"/>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983C95"/>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983C95"/>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983C95"/>
    <w:pPr>
      <w:spacing w:line="240" w:lineRule="exact"/>
    </w:pPr>
    <w:rPr>
      <w:rFonts w:ascii="Verdana" w:eastAsia="Times New Roman" w:hAnsi="Verdana" w:cs="Times New Roman"/>
      <w:sz w:val="20"/>
      <w:szCs w:val="20"/>
    </w:rPr>
  </w:style>
  <w:style w:type="character" w:customStyle="1" w:styleId="author">
    <w:name w:val="author"/>
    <w:basedOn w:val="DefaultParagraphFont"/>
    <w:rsid w:val="00983C95"/>
  </w:style>
  <w:style w:type="character" w:customStyle="1" w:styleId="author-name">
    <w:name w:val="author-name"/>
    <w:basedOn w:val="DefaultParagraphFont"/>
    <w:rsid w:val="00983C95"/>
  </w:style>
  <w:style w:type="character" w:customStyle="1" w:styleId="articletypelabel">
    <w:name w:val="articletypelabel"/>
    <w:basedOn w:val="DefaultParagraphFont"/>
    <w:rsid w:val="00983C95"/>
  </w:style>
  <w:style w:type="numbering" w:customStyle="1" w:styleId="Aucuneliste12">
    <w:name w:val="Aucune liste12"/>
    <w:next w:val="NoList"/>
    <w:uiPriority w:val="99"/>
    <w:semiHidden/>
    <w:unhideWhenUsed/>
    <w:rsid w:val="00983C95"/>
  </w:style>
  <w:style w:type="numbering" w:customStyle="1" w:styleId="NoList1111">
    <w:name w:val="No List1111"/>
    <w:next w:val="NoList"/>
    <w:uiPriority w:val="99"/>
    <w:semiHidden/>
    <w:unhideWhenUsed/>
    <w:rsid w:val="00983C95"/>
  </w:style>
  <w:style w:type="paragraph" w:customStyle="1" w:styleId="m2214819733945920736gmail-msonospacing">
    <w:name w:val="m_2214819733945920736gmail-msonospacing"/>
    <w:basedOn w:val="Normal"/>
    <w:rsid w:val="00983C95"/>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983C95"/>
  </w:style>
  <w:style w:type="numbering" w:customStyle="1" w:styleId="Aucuneliste9">
    <w:name w:val="Aucune liste9"/>
    <w:next w:val="NoList"/>
    <w:uiPriority w:val="99"/>
    <w:semiHidden/>
    <w:unhideWhenUsed/>
    <w:rsid w:val="00983C95"/>
  </w:style>
  <w:style w:type="character" w:customStyle="1" w:styleId="groupname">
    <w:name w:val="groupname"/>
    <w:basedOn w:val="DefaultParagraphFont"/>
    <w:rsid w:val="00983C95"/>
  </w:style>
  <w:style w:type="character" w:customStyle="1" w:styleId="pubyear">
    <w:name w:val="pubyear"/>
    <w:basedOn w:val="DefaultParagraphFont"/>
    <w:rsid w:val="00983C95"/>
  </w:style>
  <w:style w:type="character" w:customStyle="1" w:styleId="articletitle">
    <w:name w:val="articletitle"/>
    <w:basedOn w:val="DefaultParagraphFont"/>
    <w:rsid w:val="00983C95"/>
  </w:style>
  <w:style w:type="character" w:customStyle="1" w:styleId="journaltitle">
    <w:name w:val="journaltitle"/>
    <w:basedOn w:val="DefaultParagraphFont"/>
    <w:rsid w:val="00983C95"/>
  </w:style>
  <w:style w:type="character" w:customStyle="1" w:styleId="vol">
    <w:name w:val="vol"/>
    <w:basedOn w:val="DefaultParagraphFont"/>
    <w:rsid w:val="00983C95"/>
  </w:style>
  <w:style w:type="character" w:customStyle="1" w:styleId="citedissue">
    <w:name w:val="citedissue"/>
    <w:basedOn w:val="DefaultParagraphFont"/>
    <w:rsid w:val="00983C95"/>
  </w:style>
  <w:style w:type="paragraph" w:customStyle="1" w:styleId="xpara2">
    <w:name w:val="x_para2"/>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983C95"/>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983C95"/>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983C95"/>
  </w:style>
  <w:style w:type="numbering" w:customStyle="1" w:styleId="ImportedStyle411">
    <w:name w:val="Imported Style 411"/>
    <w:rsid w:val="00983C95"/>
  </w:style>
  <w:style w:type="numbering" w:customStyle="1" w:styleId="ImportedStyle51">
    <w:name w:val="Imported Style 51"/>
    <w:rsid w:val="00983C95"/>
  </w:style>
  <w:style w:type="numbering" w:customStyle="1" w:styleId="ImportedStyle11">
    <w:name w:val="Imported Style 11"/>
    <w:rsid w:val="00983C95"/>
  </w:style>
  <w:style w:type="table" w:customStyle="1" w:styleId="Grilledutableau7">
    <w:name w:val="Grille du tableau7"/>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983C9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983C95"/>
    <w:pPr>
      <w:tabs>
        <w:tab w:val="clear" w:pos="5670"/>
        <w:tab w:val="left" w:pos="4253"/>
      </w:tabs>
      <w:ind w:left="1559"/>
    </w:pPr>
    <w:rPr>
      <w:color w:val="000000"/>
    </w:rPr>
  </w:style>
  <w:style w:type="character" w:customStyle="1" w:styleId="databold1">
    <w:name w:val="data_bold1"/>
    <w:rsid w:val="00983C95"/>
    <w:rPr>
      <w:b/>
      <w:bCs/>
    </w:rPr>
  </w:style>
  <w:style w:type="character" w:customStyle="1" w:styleId="hithilite1">
    <w:name w:val="hithilite1"/>
    <w:rsid w:val="00983C95"/>
    <w:rPr>
      <w:shd w:val="clear" w:color="auto" w:fill="FFF3C6"/>
    </w:rPr>
  </w:style>
  <w:style w:type="character" w:customStyle="1" w:styleId="mpreadercontentreferrersidebarcontrolreferreritem1">
    <w:name w:val="mpreader_content_referrersidebarcontrolreferreritem1"/>
    <w:rsid w:val="00983C95"/>
    <w:rPr>
      <w:sz w:val="24"/>
      <w:szCs w:val="24"/>
    </w:rPr>
  </w:style>
  <w:style w:type="character" w:customStyle="1" w:styleId="lbluf1">
    <w:name w:val="lbluf1"/>
    <w:rsid w:val="00983C95"/>
    <w:rPr>
      <w:color w:val="005087"/>
    </w:rPr>
  </w:style>
  <w:style w:type="character" w:customStyle="1" w:styleId="UnresolvedMention1">
    <w:name w:val="Unresolved Mention1"/>
    <w:uiPriority w:val="99"/>
    <w:semiHidden/>
    <w:unhideWhenUsed/>
    <w:rsid w:val="00983C95"/>
    <w:rPr>
      <w:color w:val="808080"/>
      <w:shd w:val="clear" w:color="auto" w:fill="E6E6E6"/>
    </w:rPr>
  </w:style>
  <w:style w:type="paragraph" w:customStyle="1" w:styleId="CelluleIntitul">
    <w:name w:val="Cellule Intitulé"/>
    <w:rsid w:val="00983C95"/>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983C95"/>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983C9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983C95"/>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983C95"/>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983C95"/>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983C95"/>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983C95"/>
  </w:style>
  <w:style w:type="paragraph" w:customStyle="1" w:styleId="EndNoteBibliographyTitle">
    <w:name w:val="EndNote Bibliography Title"/>
    <w:basedOn w:val="Normal"/>
    <w:link w:val="EndNoteBibliographyTitleChar"/>
    <w:rsid w:val="00983C95"/>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983C95"/>
    <w:rPr>
      <w:rFonts w:ascii="Calibri" w:eastAsia="Times New Roman" w:hAnsi="Calibri" w:cs="Calibri"/>
      <w:noProof/>
      <w:szCs w:val="24"/>
    </w:rPr>
  </w:style>
  <w:style w:type="paragraph" w:customStyle="1" w:styleId="EndNoteBibliography">
    <w:name w:val="EndNote Bibliography"/>
    <w:basedOn w:val="Normal"/>
    <w:link w:val="EndNoteBibliographyChar"/>
    <w:rsid w:val="00983C95"/>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983C95"/>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983C95"/>
    <w:rPr>
      <w:rFonts w:ascii="Arial" w:eastAsia="Arial" w:hAnsi="Arial" w:cs="Arial"/>
    </w:rPr>
  </w:style>
  <w:style w:type="table" w:customStyle="1" w:styleId="GridTable4-Accent11">
    <w:name w:val="Grid Table 4 - Accent 11"/>
    <w:basedOn w:val="TableNormal"/>
    <w:uiPriority w:val="49"/>
    <w:rsid w:val="00983C9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983C95"/>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983C95"/>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983C95"/>
    <w:rPr>
      <w:color w:val="605E5C"/>
      <w:shd w:val="clear" w:color="auto" w:fill="E1DFDD"/>
    </w:rPr>
  </w:style>
  <w:style w:type="character" w:customStyle="1" w:styleId="UnresolvedMention3">
    <w:name w:val="Unresolved Mention3"/>
    <w:basedOn w:val="DefaultParagraphFont"/>
    <w:uiPriority w:val="99"/>
    <w:semiHidden/>
    <w:unhideWhenUsed/>
    <w:rsid w:val="00983C95"/>
    <w:rPr>
      <w:color w:val="605E5C"/>
      <w:shd w:val="clear" w:color="auto" w:fill="E1DFDD"/>
    </w:rPr>
  </w:style>
  <w:style w:type="paragraph" w:customStyle="1" w:styleId="Corpstexte">
    <w:name w:val="Corps texte"/>
    <w:basedOn w:val="Normal"/>
    <w:rsid w:val="00983C95"/>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983C95"/>
    <w:rPr>
      <w:rFonts w:ascii="Arial" w:eastAsia="Times New Roman" w:hAnsi="Arial" w:cs="Times New Roman"/>
      <w:sz w:val="18"/>
      <w:lang w:val="en-IE" w:bidi="en-US"/>
    </w:rPr>
  </w:style>
  <w:style w:type="character" w:customStyle="1" w:styleId="rfrencesChar">
    <w:name w:val="références Char"/>
    <w:link w:val="rfrences"/>
    <w:rsid w:val="00983C95"/>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983C95"/>
    <w:pPr>
      <w:ind w:left="0" w:firstLine="0"/>
    </w:pPr>
    <w:rPr>
      <w:rFonts w:ascii="Arial" w:hAnsi="Arial"/>
      <w:smallCaps/>
      <w:sz w:val="18"/>
      <w:lang w:bidi="ar-SA"/>
    </w:rPr>
  </w:style>
  <w:style w:type="paragraph" w:customStyle="1" w:styleId="tableau">
    <w:name w:val="tableau"/>
    <w:basedOn w:val="Normal"/>
    <w:uiPriority w:val="99"/>
    <w:rsid w:val="00983C95"/>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983C95"/>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983C95"/>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983C95"/>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983C95"/>
    <w:rPr>
      <w:rFonts w:ascii="Calibri Light" w:eastAsia="Times New Roman" w:hAnsi="Calibri Light" w:cs="Times New Roman"/>
      <w:color w:val="4472C4"/>
      <w:sz w:val="28"/>
      <w:szCs w:val="28"/>
      <w:lang w:val="en-AU"/>
    </w:rPr>
  </w:style>
  <w:style w:type="character" w:styleId="SubtleEmphasis">
    <w:name w:val="Subtle Emphasis"/>
    <w:uiPriority w:val="19"/>
    <w:qFormat/>
    <w:rsid w:val="00983C95"/>
    <w:rPr>
      <w:i/>
      <w:iCs/>
      <w:color w:val="404040"/>
    </w:rPr>
  </w:style>
  <w:style w:type="character" w:styleId="SubtleReference">
    <w:name w:val="Subtle Reference"/>
    <w:uiPriority w:val="31"/>
    <w:qFormat/>
    <w:rsid w:val="00983C95"/>
    <w:rPr>
      <w:smallCaps/>
      <w:color w:val="404040"/>
      <w:u w:val="single" w:color="7F7F7F"/>
    </w:rPr>
  </w:style>
  <w:style w:type="character" w:styleId="IntenseReference">
    <w:name w:val="Intense Reference"/>
    <w:uiPriority w:val="32"/>
    <w:qFormat/>
    <w:rsid w:val="00983C95"/>
    <w:rPr>
      <w:b/>
      <w:bCs/>
      <w:smallCaps/>
      <w:spacing w:val="5"/>
      <w:u w:val="single"/>
    </w:rPr>
  </w:style>
  <w:style w:type="character" w:styleId="BookTitle">
    <w:name w:val="Book Title"/>
    <w:uiPriority w:val="33"/>
    <w:qFormat/>
    <w:rsid w:val="00983C95"/>
    <w:rPr>
      <w:b/>
      <w:bCs/>
      <w:smallCaps/>
    </w:rPr>
  </w:style>
  <w:style w:type="table" w:customStyle="1" w:styleId="GridTable1Light1">
    <w:name w:val="Grid Table 1 Light1"/>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983C95"/>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983C95"/>
    <w:rPr>
      <w:rFonts w:ascii="Times New Roman" w:eastAsia="Times New Roman" w:hAnsi="Times New Roman" w:cs="Times New Roman"/>
      <w:sz w:val="24"/>
      <w:szCs w:val="24"/>
      <w:lang w:val="en-GB"/>
    </w:rPr>
  </w:style>
  <w:style w:type="character" w:customStyle="1" w:styleId="frlabel">
    <w:name w:val="fr_label"/>
    <w:rsid w:val="00983C95"/>
  </w:style>
  <w:style w:type="character" w:customStyle="1" w:styleId="chaptertitle0">
    <w:name w:val="chaptertitle"/>
    <w:rsid w:val="00983C95"/>
  </w:style>
  <w:style w:type="character" w:customStyle="1" w:styleId="booktitle0">
    <w:name w:val="booktitle"/>
    <w:rsid w:val="00983C95"/>
  </w:style>
  <w:style w:type="numbering" w:customStyle="1" w:styleId="Aucuneliste111">
    <w:name w:val="Aucune liste111"/>
    <w:next w:val="NoList"/>
    <w:uiPriority w:val="99"/>
    <w:semiHidden/>
    <w:unhideWhenUsed/>
    <w:rsid w:val="00983C95"/>
  </w:style>
  <w:style w:type="character" w:customStyle="1" w:styleId="pagefirst">
    <w:name w:val="pagefirst"/>
    <w:basedOn w:val="DefaultParagraphFont"/>
    <w:rsid w:val="00983C95"/>
  </w:style>
  <w:style w:type="table" w:customStyle="1" w:styleId="-11">
    <w:name w:val="浅色列表 - 强调文字颜色 11"/>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983C95"/>
    <w:pPr>
      <w:spacing w:after="120"/>
      <w:ind w:left="1701" w:hanging="425"/>
    </w:pPr>
  </w:style>
  <w:style w:type="character" w:customStyle="1" w:styleId="Mentionnonrsolue1">
    <w:name w:val="Mention non résolue1"/>
    <w:basedOn w:val="DefaultParagraphFont"/>
    <w:uiPriority w:val="99"/>
    <w:semiHidden/>
    <w:unhideWhenUsed/>
    <w:rsid w:val="00983C95"/>
    <w:rPr>
      <w:color w:val="605E5C"/>
      <w:shd w:val="clear" w:color="auto" w:fill="E1DFDD"/>
    </w:rPr>
  </w:style>
  <w:style w:type="paragraph" w:customStyle="1" w:styleId="Titre2">
    <w:name w:val="Titre2"/>
    <w:basedOn w:val="Normal"/>
    <w:rsid w:val="00983C9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983C95"/>
  </w:style>
  <w:style w:type="table" w:customStyle="1" w:styleId="TableGrid12">
    <w:name w:val="TableGrid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983C95"/>
  </w:style>
  <w:style w:type="table" w:customStyle="1" w:styleId="Grilledutableau9">
    <w:name w:val="Grille du tableau9"/>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983C95"/>
  </w:style>
  <w:style w:type="numbering" w:customStyle="1" w:styleId="ImportedStyle52">
    <w:name w:val="Imported Style 52"/>
    <w:rsid w:val="00983C95"/>
  </w:style>
  <w:style w:type="numbering" w:customStyle="1" w:styleId="ImportedStyle12">
    <w:name w:val="Imported Style 12"/>
    <w:rsid w:val="00983C95"/>
  </w:style>
  <w:style w:type="table" w:customStyle="1" w:styleId="Grilledutableau11">
    <w:name w:val="Grille du tableau1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983C95"/>
  </w:style>
  <w:style w:type="numbering" w:customStyle="1" w:styleId="1ai2">
    <w:name w:val="1 / a / i2"/>
    <w:basedOn w:val="NoList"/>
    <w:next w:val="1ai"/>
    <w:rsid w:val="00983C95"/>
  </w:style>
  <w:style w:type="numbering" w:customStyle="1" w:styleId="1111112">
    <w:name w:val="1 / 1.1 / 1.1.12"/>
    <w:basedOn w:val="NoList"/>
    <w:next w:val="111111"/>
    <w:rsid w:val="00983C95"/>
  </w:style>
  <w:style w:type="numbering" w:customStyle="1" w:styleId="List01">
    <w:name w:val="List 01"/>
    <w:basedOn w:val="ImportedStyle1"/>
    <w:rsid w:val="00983C95"/>
  </w:style>
  <w:style w:type="numbering" w:customStyle="1" w:styleId="List11">
    <w:name w:val="List 11"/>
    <w:basedOn w:val="ImportedStyle2"/>
    <w:rsid w:val="00983C95"/>
  </w:style>
  <w:style w:type="numbering" w:customStyle="1" w:styleId="ImportedStyle21">
    <w:name w:val="Imported Style 21"/>
    <w:rsid w:val="00983C95"/>
  </w:style>
  <w:style w:type="numbering" w:customStyle="1" w:styleId="List211">
    <w:name w:val="List 211"/>
    <w:basedOn w:val="ImportedStyle3"/>
    <w:rsid w:val="00983C95"/>
  </w:style>
  <w:style w:type="numbering" w:customStyle="1" w:styleId="ImportedStyle31">
    <w:name w:val="Imported Style 31"/>
    <w:rsid w:val="00983C95"/>
  </w:style>
  <w:style w:type="numbering" w:customStyle="1" w:styleId="Aucuneliste112">
    <w:name w:val="Aucune liste112"/>
    <w:next w:val="NoList"/>
    <w:uiPriority w:val="99"/>
    <w:semiHidden/>
    <w:unhideWhenUsed/>
    <w:rsid w:val="00983C95"/>
  </w:style>
  <w:style w:type="numbering" w:customStyle="1" w:styleId="NoList12">
    <w:name w:val="No List12"/>
    <w:next w:val="NoList"/>
    <w:uiPriority w:val="99"/>
    <w:semiHidden/>
    <w:unhideWhenUsed/>
    <w:rsid w:val="00983C95"/>
  </w:style>
  <w:style w:type="table" w:customStyle="1" w:styleId="TableGrid120">
    <w:name w:val="Table Grid12"/>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983C95"/>
  </w:style>
  <w:style w:type="numbering" w:customStyle="1" w:styleId="Aucuneliste41">
    <w:name w:val="Aucune liste41"/>
    <w:next w:val="NoList"/>
    <w:uiPriority w:val="99"/>
    <w:semiHidden/>
    <w:unhideWhenUsed/>
    <w:rsid w:val="00983C95"/>
  </w:style>
  <w:style w:type="table" w:customStyle="1" w:styleId="Grilledutableau21">
    <w:name w:val="Grille du tableau21"/>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983C95"/>
  </w:style>
  <w:style w:type="numbering" w:customStyle="1" w:styleId="1ai11">
    <w:name w:val="1 / a / i11"/>
    <w:basedOn w:val="NoList"/>
    <w:next w:val="1ai"/>
    <w:rsid w:val="00983C95"/>
  </w:style>
  <w:style w:type="numbering" w:customStyle="1" w:styleId="11111111">
    <w:name w:val="1 / 1.1 / 1.1.111"/>
    <w:basedOn w:val="NoList"/>
    <w:next w:val="111111"/>
    <w:rsid w:val="00983C95"/>
  </w:style>
  <w:style w:type="numbering" w:customStyle="1" w:styleId="Aucuneliste51">
    <w:name w:val="Aucune liste51"/>
    <w:next w:val="NoList"/>
    <w:uiPriority w:val="99"/>
    <w:semiHidden/>
    <w:unhideWhenUsed/>
    <w:rsid w:val="00983C95"/>
  </w:style>
  <w:style w:type="table" w:customStyle="1" w:styleId="Grilledutableau31">
    <w:name w:val="Grille du tableau3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983C95"/>
  </w:style>
  <w:style w:type="table" w:customStyle="1" w:styleId="Grilledutableau41">
    <w:name w:val="Grille du tableau4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983C95"/>
  </w:style>
  <w:style w:type="numbering" w:customStyle="1" w:styleId="Aucuneliste81">
    <w:name w:val="Aucune liste81"/>
    <w:next w:val="NoList"/>
    <w:uiPriority w:val="99"/>
    <w:semiHidden/>
    <w:unhideWhenUsed/>
    <w:rsid w:val="00983C95"/>
  </w:style>
  <w:style w:type="table" w:customStyle="1" w:styleId="Grilledutableau51">
    <w:name w:val="Grille du tableau5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983C95"/>
  </w:style>
  <w:style w:type="table" w:customStyle="1" w:styleId="TableGrid111">
    <w:name w:val="Table Grid111"/>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983C95"/>
  </w:style>
  <w:style w:type="table" w:customStyle="1" w:styleId="Grilledutableau61">
    <w:name w:val="Grille du tableau61"/>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983C95"/>
  </w:style>
  <w:style w:type="numbering" w:customStyle="1" w:styleId="ImportedStyle511">
    <w:name w:val="Imported Style 511"/>
    <w:rsid w:val="00983C95"/>
  </w:style>
  <w:style w:type="numbering" w:customStyle="1" w:styleId="ImportedStyle111">
    <w:name w:val="Imported Style 111"/>
    <w:rsid w:val="00983C95"/>
  </w:style>
  <w:style w:type="table" w:customStyle="1" w:styleId="Grilledutableau71">
    <w:name w:val="Grille du tableau71"/>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983C95"/>
  </w:style>
  <w:style w:type="character" w:customStyle="1" w:styleId="arttitle">
    <w:name w:val="art_title"/>
    <w:basedOn w:val="DefaultParagraphFont"/>
    <w:rsid w:val="00983C95"/>
  </w:style>
  <w:style w:type="character" w:customStyle="1" w:styleId="serialtitle">
    <w:name w:val="serial_title"/>
    <w:basedOn w:val="DefaultParagraphFont"/>
    <w:rsid w:val="00983C95"/>
  </w:style>
  <w:style w:type="character" w:customStyle="1" w:styleId="volumeissue">
    <w:name w:val="volume_issue"/>
    <w:basedOn w:val="DefaultParagraphFont"/>
    <w:rsid w:val="00983C95"/>
  </w:style>
  <w:style w:type="character" w:customStyle="1" w:styleId="pagerange">
    <w:name w:val="page_range"/>
    <w:basedOn w:val="DefaultParagraphFont"/>
    <w:rsid w:val="00983C95"/>
  </w:style>
  <w:style w:type="character" w:customStyle="1" w:styleId="doilink">
    <w:name w:val="doi_link"/>
    <w:basedOn w:val="DefaultParagraphFont"/>
    <w:rsid w:val="00983C95"/>
  </w:style>
  <w:style w:type="character" w:customStyle="1" w:styleId="Date1">
    <w:name w:val="Date1"/>
    <w:basedOn w:val="DefaultParagraphFont"/>
    <w:rsid w:val="00983C95"/>
  </w:style>
  <w:style w:type="character" w:customStyle="1" w:styleId="sciname1">
    <w:name w:val="sciname1"/>
    <w:rsid w:val="00983C95"/>
    <w:rPr>
      <w:i/>
      <w:iCs/>
    </w:rPr>
  </w:style>
  <w:style w:type="character" w:customStyle="1" w:styleId="UnresolvedMention4">
    <w:name w:val="Unresolved Mention4"/>
    <w:basedOn w:val="DefaultParagraphFont"/>
    <w:uiPriority w:val="99"/>
    <w:semiHidden/>
    <w:unhideWhenUsed/>
    <w:rsid w:val="00983C95"/>
    <w:rPr>
      <w:color w:val="605E5C"/>
      <w:shd w:val="clear" w:color="auto" w:fill="E1DFDD"/>
    </w:rPr>
  </w:style>
  <w:style w:type="character" w:customStyle="1" w:styleId="UnresolvedMention5">
    <w:name w:val="Unresolved Mention5"/>
    <w:basedOn w:val="DefaultParagraphFont"/>
    <w:uiPriority w:val="99"/>
    <w:semiHidden/>
    <w:unhideWhenUsed/>
    <w:rsid w:val="00983C95"/>
    <w:rPr>
      <w:color w:val="605E5C"/>
      <w:shd w:val="clear" w:color="auto" w:fill="E1DFDD"/>
    </w:rPr>
  </w:style>
  <w:style w:type="character" w:customStyle="1" w:styleId="UnresolvedMention51">
    <w:name w:val="Unresolved Mention51"/>
    <w:basedOn w:val="DefaultParagraphFont"/>
    <w:uiPriority w:val="99"/>
    <w:semiHidden/>
    <w:unhideWhenUsed/>
    <w:rsid w:val="00983C95"/>
    <w:rPr>
      <w:color w:val="605E5C"/>
      <w:shd w:val="clear" w:color="auto" w:fill="E1DFDD"/>
    </w:rPr>
  </w:style>
  <w:style w:type="character" w:customStyle="1" w:styleId="Mentionnonrsolue2">
    <w:name w:val="Mention non résolue2"/>
    <w:basedOn w:val="DefaultParagraphFont"/>
    <w:uiPriority w:val="99"/>
    <w:semiHidden/>
    <w:unhideWhenUsed/>
    <w:rsid w:val="00983C95"/>
    <w:rPr>
      <w:color w:val="605E5C"/>
      <w:shd w:val="clear" w:color="auto" w:fill="E1DFDD"/>
    </w:rPr>
  </w:style>
  <w:style w:type="paragraph" w:customStyle="1" w:styleId="Titre30">
    <w:name w:val="Titre3"/>
    <w:basedOn w:val="Normal"/>
    <w:rsid w:val="00983C9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983C95"/>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983C95"/>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983C95"/>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983C95"/>
    <w:pPr>
      <w:spacing w:after="0"/>
      <w:ind w:left="880"/>
    </w:pPr>
    <w:rPr>
      <w:rFonts w:cstheme="minorHAnsi"/>
      <w:sz w:val="18"/>
      <w:szCs w:val="18"/>
    </w:rPr>
  </w:style>
  <w:style w:type="paragraph" w:styleId="TOC6">
    <w:name w:val="toc 6"/>
    <w:basedOn w:val="Normal"/>
    <w:next w:val="Normal"/>
    <w:autoRedefine/>
    <w:uiPriority w:val="39"/>
    <w:unhideWhenUsed/>
    <w:rsid w:val="00983C95"/>
    <w:pPr>
      <w:spacing w:after="0"/>
      <w:ind w:left="1100"/>
    </w:pPr>
    <w:rPr>
      <w:rFonts w:cstheme="minorHAnsi"/>
      <w:sz w:val="18"/>
      <w:szCs w:val="18"/>
    </w:rPr>
  </w:style>
  <w:style w:type="paragraph" w:styleId="TOC7">
    <w:name w:val="toc 7"/>
    <w:basedOn w:val="Normal"/>
    <w:next w:val="Normal"/>
    <w:autoRedefine/>
    <w:uiPriority w:val="39"/>
    <w:unhideWhenUsed/>
    <w:rsid w:val="00983C95"/>
    <w:pPr>
      <w:spacing w:after="0"/>
      <w:ind w:left="1320"/>
    </w:pPr>
    <w:rPr>
      <w:rFonts w:cstheme="minorHAnsi"/>
      <w:sz w:val="18"/>
      <w:szCs w:val="18"/>
    </w:rPr>
  </w:style>
  <w:style w:type="paragraph" w:styleId="TOC8">
    <w:name w:val="toc 8"/>
    <w:basedOn w:val="Normal"/>
    <w:next w:val="Normal"/>
    <w:autoRedefine/>
    <w:uiPriority w:val="39"/>
    <w:unhideWhenUsed/>
    <w:rsid w:val="00983C95"/>
    <w:pPr>
      <w:spacing w:after="0"/>
      <w:ind w:left="1540"/>
    </w:pPr>
    <w:rPr>
      <w:rFonts w:cstheme="minorHAnsi"/>
      <w:sz w:val="18"/>
      <w:szCs w:val="18"/>
    </w:rPr>
  </w:style>
  <w:style w:type="paragraph" w:styleId="TOC9">
    <w:name w:val="toc 9"/>
    <w:basedOn w:val="Normal"/>
    <w:next w:val="Normal"/>
    <w:autoRedefine/>
    <w:uiPriority w:val="39"/>
    <w:unhideWhenUsed/>
    <w:rsid w:val="00983C95"/>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983C95"/>
    <w:rPr>
      <w:color w:val="605E5C"/>
      <w:shd w:val="clear" w:color="auto" w:fill="E1DFDD"/>
    </w:rPr>
  </w:style>
  <w:style w:type="table" w:customStyle="1" w:styleId="Grilledutableau10">
    <w:name w:val="Grille du tableau10"/>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983C95"/>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983C95"/>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983C95"/>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983C95"/>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983C95"/>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983C95"/>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983C95"/>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983C95"/>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983C95"/>
  </w:style>
  <w:style w:type="character" w:customStyle="1" w:styleId="pagelast">
    <w:name w:val="pagelast"/>
    <w:basedOn w:val="DefaultParagraphFont"/>
    <w:rsid w:val="00983C95"/>
  </w:style>
  <w:style w:type="numbering" w:customStyle="1" w:styleId="ImportedStyle53">
    <w:name w:val="Imported Style 53"/>
    <w:rsid w:val="00983C95"/>
  </w:style>
  <w:style w:type="numbering" w:customStyle="1" w:styleId="ImportedStyle13">
    <w:name w:val="Imported Style 13"/>
    <w:rsid w:val="00983C95"/>
  </w:style>
  <w:style w:type="numbering" w:customStyle="1" w:styleId="ArticleSection3">
    <w:name w:val="Article / Section3"/>
    <w:basedOn w:val="NoList"/>
    <w:next w:val="ArticleSection"/>
    <w:rsid w:val="00983C95"/>
  </w:style>
  <w:style w:type="numbering" w:customStyle="1" w:styleId="1ai3">
    <w:name w:val="1 / a / i3"/>
    <w:basedOn w:val="NoList"/>
    <w:next w:val="1ai"/>
    <w:rsid w:val="00983C95"/>
  </w:style>
  <w:style w:type="numbering" w:customStyle="1" w:styleId="1111113">
    <w:name w:val="1 / 1.1 / 1.1.13"/>
    <w:basedOn w:val="NoList"/>
    <w:next w:val="111111"/>
    <w:rsid w:val="00983C95"/>
  </w:style>
  <w:style w:type="numbering" w:customStyle="1" w:styleId="List02">
    <w:name w:val="List 02"/>
    <w:basedOn w:val="ImportedStyle1"/>
    <w:rsid w:val="00983C95"/>
  </w:style>
  <w:style w:type="numbering" w:customStyle="1" w:styleId="List12">
    <w:name w:val="List 12"/>
    <w:basedOn w:val="ImportedStyle2"/>
    <w:rsid w:val="00983C95"/>
  </w:style>
  <w:style w:type="numbering" w:customStyle="1" w:styleId="List212">
    <w:name w:val="List 212"/>
    <w:basedOn w:val="ImportedStyle3"/>
    <w:rsid w:val="00983C95"/>
  </w:style>
  <w:style w:type="numbering" w:customStyle="1" w:styleId="ImportedStyle421">
    <w:name w:val="Imported Style 421"/>
    <w:rsid w:val="00983C95"/>
  </w:style>
  <w:style w:type="numbering" w:customStyle="1" w:styleId="ImportedStyle521">
    <w:name w:val="Imported Style 521"/>
    <w:rsid w:val="00983C95"/>
  </w:style>
  <w:style w:type="numbering" w:customStyle="1" w:styleId="ImportedStyle121">
    <w:name w:val="Imported Style 121"/>
    <w:rsid w:val="00983C95"/>
  </w:style>
  <w:style w:type="numbering" w:customStyle="1" w:styleId="ArticleSection21">
    <w:name w:val="Article / Section21"/>
    <w:basedOn w:val="NoList"/>
    <w:next w:val="ArticleSection"/>
    <w:rsid w:val="00983C95"/>
  </w:style>
  <w:style w:type="numbering" w:customStyle="1" w:styleId="1ai21">
    <w:name w:val="1 / a / i21"/>
    <w:basedOn w:val="NoList"/>
    <w:next w:val="1ai"/>
    <w:rsid w:val="00983C95"/>
  </w:style>
  <w:style w:type="numbering" w:customStyle="1" w:styleId="11111121">
    <w:name w:val="1 / 1.1 / 1.1.121"/>
    <w:basedOn w:val="NoList"/>
    <w:next w:val="111111"/>
    <w:rsid w:val="00983C95"/>
  </w:style>
  <w:style w:type="numbering" w:customStyle="1" w:styleId="List011">
    <w:name w:val="List 011"/>
    <w:basedOn w:val="ImportedStyle1"/>
    <w:rsid w:val="00983C95"/>
  </w:style>
  <w:style w:type="numbering" w:customStyle="1" w:styleId="List111">
    <w:name w:val="List 111"/>
    <w:basedOn w:val="ImportedStyle2"/>
    <w:rsid w:val="00983C95"/>
  </w:style>
  <w:style w:type="numbering" w:customStyle="1" w:styleId="List2111">
    <w:name w:val="List 2111"/>
    <w:basedOn w:val="ImportedStyle3"/>
    <w:rsid w:val="00983C95"/>
  </w:style>
  <w:style w:type="paragraph" w:customStyle="1" w:styleId="Ottawastyle">
    <w:name w:val="Ottawa style"/>
    <w:basedOn w:val="Normal"/>
    <w:link w:val="OttawastyleChar"/>
    <w:qFormat/>
    <w:rsid w:val="00983C95"/>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983C95"/>
    <w:rPr>
      <w:rFonts w:ascii="Ottawa" w:hAnsi="Ottawa"/>
      <w:spacing w:val="57"/>
      <w:sz w:val="24"/>
      <w:szCs w:val="24"/>
      <w:lang w:val="en-GB"/>
    </w:rPr>
  </w:style>
  <w:style w:type="numbering" w:customStyle="1" w:styleId="ImportedStyle44">
    <w:name w:val="Imported Style 44"/>
    <w:rsid w:val="00983C95"/>
  </w:style>
  <w:style w:type="numbering" w:customStyle="1" w:styleId="ImportedStyle54">
    <w:name w:val="Imported Style 54"/>
    <w:rsid w:val="00983C95"/>
  </w:style>
  <w:style w:type="numbering" w:customStyle="1" w:styleId="ImportedStyle14">
    <w:name w:val="Imported Style 14"/>
    <w:rsid w:val="00983C95"/>
  </w:style>
  <w:style w:type="table" w:customStyle="1" w:styleId="TableGrid00">
    <w:name w:val="Table Grid00"/>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983C95"/>
  </w:style>
  <w:style w:type="numbering" w:customStyle="1" w:styleId="1ai4">
    <w:name w:val="1 / a / i4"/>
    <w:basedOn w:val="NoList"/>
    <w:next w:val="1ai"/>
    <w:rsid w:val="00983C95"/>
  </w:style>
  <w:style w:type="numbering" w:customStyle="1" w:styleId="1111114">
    <w:name w:val="1 / 1.1 / 1.1.14"/>
    <w:basedOn w:val="NoList"/>
    <w:next w:val="111111"/>
    <w:rsid w:val="00983C95"/>
  </w:style>
  <w:style w:type="numbering" w:customStyle="1" w:styleId="List03">
    <w:name w:val="List 03"/>
    <w:basedOn w:val="ImportedStyle1"/>
    <w:rsid w:val="00983C95"/>
  </w:style>
  <w:style w:type="numbering" w:customStyle="1" w:styleId="List13">
    <w:name w:val="List 13"/>
    <w:basedOn w:val="ImportedStyle2"/>
    <w:rsid w:val="00983C95"/>
  </w:style>
  <w:style w:type="numbering" w:customStyle="1" w:styleId="List213">
    <w:name w:val="List 213"/>
    <w:basedOn w:val="ImportedStyle3"/>
    <w:rsid w:val="00983C95"/>
  </w:style>
  <w:style w:type="paragraph" w:customStyle="1" w:styleId="heading200">
    <w:name w:val="heading 200"/>
    <w:basedOn w:val="Normal"/>
    <w:qFormat/>
    <w:rsid w:val="00983C95"/>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983C95"/>
  </w:style>
  <w:style w:type="numbering" w:customStyle="1" w:styleId="ImportedStyle522">
    <w:name w:val="Imported Style 522"/>
    <w:rsid w:val="00983C95"/>
  </w:style>
  <w:style w:type="numbering" w:customStyle="1" w:styleId="ImportedStyle122">
    <w:name w:val="Imported Style 122"/>
    <w:rsid w:val="00983C95"/>
  </w:style>
  <w:style w:type="numbering" w:customStyle="1" w:styleId="ArticleSection22">
    <w:name w:val="Article / Section22"/>
    <w:basedOn w:val="NoList"/>
    <w:next w:val="ArticleSection"/>
    <w:rsid w:val="00983C95"/>
  </w:style>
  <w:style w:type="numbering" w:customStyle="1" w:styleId="1ai22">
    <w:name w:val="1 / a / i22"/>
    <w:basedOn w:val="NoList"/>
    <w:next w:val="1ai"/>
    <w:rsid w:val="00983C95"/>
  </w:style>
  <w:style w:type="numbering" w:customStyle="1" w:styleId="11111122">
    <w:name w:val="1 / 1.1 / 1.1.122"/>
    <w:basedOn w:val="NoList"/>
    <w:next w:val="111111"/>
    <w:rsid w:val="00983C95"/>
  </w:style>
  <w:style w:type="numbering" w:customStyle="1" w:styleId="List012">
    <w:name w:val="List 012"/>
    <w:basedOn w:val="ImportedStyle1"/>
    <w:rsid w:val="00983C95"/>
  </w:style>
  <w:style w:type="numbering" w:customStyle="1" w:styleId="List112">
    <w:name w:val="List 112"/>
    <w:basedOn w:val="ImportedStyle2"/>
    <w:rsid w:val="00983C95"/>
  </w:style>
  <w:style w:type="numbering" w:customStyle="1" w:styleId="List2112">
    <w:name w:val="List 2112"/>
    <w:basedOn w:val="ImportedStyle3"/>
    <w:rsid w:val="00983C95"/>
  </w:style>
  <w:style w:type="numbering" w:customStyle="1" w:styleId="ImportedStyle45">
    <w:name w:val="Imported Style 45"/>
    <w:rsid w:val="00983C95"/>
  </w:style>
  <w:style w:type="numbering" w:customStyle="1" w:styleId="ImportedStyle55">
    <w:name w:val="Imported Style 55"/>
    <w:rsid w:val="00983C95"/>
  </w:style>
  <w:style w:type="numbering" w:customStyle="1" w:styleId="ImportedStyle15">
    <w:name w:val="Imported Style 15"/>
    <w:rsid w:val="00983C95"/>
  </w:style>
  <w:style w:type="numbering" w:customStyle="1" w:styleId="ArticleSection5">
    <w:name w:val="Article / Section5"/>
    <w:basedOn w:val="NoList"/>
    <w:next w:val="ArticleSection"/>
    <w:rsid w:val="00983C95"/>
  </w:style>
  <w:style w:type="numbering" w:customStyle="1" w:styleId="1ai5">
    <w:name w:val="1 / a / i5"/>
    <w:basedOn w:val="NoList"/>
    <w:next w:val="1ai"/>
    <w:rsid w:val="00983C95"/>
  </w:style>
  <w:style w:type="numbering" w:customStyle="1" w:styleId="1111115">
    <w:name w:val="1 / 1.1 / 1.1.15"/>
    <w:basedOn w:val="NoList"/>
    <w:next w:val="111111"/>
    <w:rsid w:val="00983C95"/>
  </w:style>
  <w:style w:type="numbering" w:customStyle="1" w:styleId="List04">
    <w:name w:val="List 04"/>
    <w:basedOn w:val="ImportedStyle1"/>
    <w:rsid w:val="00983C95"/>
  </w:style>
  <w:style w:type="numbering" w:customStyle="1" w:styleId="List14">
    <w:name w:val="List 14"/>
    <w:basedOn w:val="ImportedStyle2"/>
    <w:rsid w:val="00983C95"/>
  </w:style>
  <w:style w:type="numbering" w:customStyle="1" w:styleId="List214">
    <w:name w:val="List 214"/>
    <w:basedOn w:val="ImportedStyle3"/>
    <w:rsid w:val="00983C95"/>
  </w:style>
  <w:style w:type="numbering" w:customStyle="1" w:styleId="ImportedStyle423">
    <w:name w:val="Imported Style 423"/>
    <w:rsid w:val="00983C95"/>
  </w:style>
  <w:style w:type="numbering" w:customStyle="1" w:styleId="ImportedStyle523">
    <w:name w:val="Imported Style 523"/>
    <w:rsid w:val="00983C95"/>
  </w:style>
  <w:style w:type="numbering" w:customStyle="1" w:styleId="ImportedStyle123">
    <w:name w:val="Imported Style 123"/>
    <w:rsid w:val="00983C95"/>
  </w:style>
  <w:style w:type="numbering" w:customStyle="1" w:styleId="ArticleSection23">
    <w:name w:val="Article / Section23"/>
    <w:basedOn w:val="NoList"/>
    <w:next w:val="ArticleSection"/>
    <w:rsid w:val="00983C95"/>
  </w:style>
  <w:style w:type="numbering" w:customStyle="1" w:styleId="1ai23">
    <w:name w:val="1 / a / i23"/>
    <w:basedOn w:val="NoList"/>
    <w:next w:val="1ai"/>
    <w:rsid w:val="00983C95"/>
  </w:style>
  <w:style w:type="numbering" w:customStyle="1" w:styleId="11111123">
    <w:name w:val="1 / 1.1 / 1.1.123"/>
    <w:basedOn w:val="NoList"/>
    <w:next w:val="111111"/>
    <w:rsid w:val="00983C95"/>
  </w:style>
  <w:style w:type="numbering" w:customStyle="1" w:styleId="List013">
    <w:name w:val="List 013"/>
    <w:basedOn w:val="ImportedStyle1"/>
    <w:rsid w:val="00983C95"/>
  </w:style>
  <w:style w:type="numbering" w:customStyle="1" w:styleId="List113">
    <w:name w:val="List 113"/>
    <w:basedOn w:val="ImportedStyle2"/>
    <w:rsid w:val="00983C95"/>
  </w:style>
  <w:style w:type="numbering" w:customStyle="1" w:styleId="List2113">
    <w:name w:val="List 2113"/>
    <w:basedOn w:val="ImportedStyle3"/>
    <w:rsid w:val="00983C95"/>
  </w:style>
  <w:style w:type="table" w:customStyle="1" w:styleId="TableGrid13">
    <w:name w:val="Table Grid13"/>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983C95"/>
  </w:style>
  <w:style w:type="table" w:customStyle="1" w:styleId="TableGrid01">
    <w:name w:val="Table Grid01"/>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983C95"/>
  </w:style>
  <w:style w:type="numbering" w:customStyle="1" w:styleId="ImportedStyle46">
    <w:name w:val="Imported Style 46"/>
    <w:rsid w:val="00983C95"/>
  </w:style>
  <w:style w:type="numbering" w:customStyle="1" w:styleId="ImportedStyle56">
    <w:name w:val="Imported Style 56"/>
    <w:rsid w:val="00983C95"/>
  </w:style>
  <w:style w:type="numbering" w:customStyle="1" w:styleId="ImportedStyle16">
    <w:name w:val="Imported Style 16"/>
    <w:rsid w:val="00983C95"/>
  </w:style>
  <w:style w:type="numbering" w:customStyle="1" w:styleId="ArticleSection6">
    <w:name w:val="Article / Section6"/>
    <w:basedOn w:val="NoList"/>
    <w:next w:val="ArticleSection"/>
    <w:rsid w:val="00983C95"/>
  </w:style>
  <w:style w:type="numbering" w:customStyle="1" w:styleId="1ai6">
    <w:name w:val="1 / a / i6"/>
    <w:basedOn w:val="NoList"/>
    <w:next w:val="1ai"/>
    <w:rsid w:val="00983C95"/>
  </w:style>
  <w:style w:type="numbering" w:customStyle="1" w:styleId="1111116">
    <w:name w:val="1 / 1.1 / 1.1.16"/>
    <w:basedOn w:val="NoList"/>
    <w:next w:val="111111"/>
    <w:rsid w:val="00983C95"/>
  </w:style>
  <w:style w:type="numbering" w:customStyle="1" w:styleId="List05">
    <w:name w:val="List 05"/>
    <w:basedOn w:val="ImportedStyle1"/>
    <w:rsid w:val="00983C95"/>
  </w:style>
  <w:style w:type="numbering" w:customStyle="1" w:styleId="List15">
    <w:name w:val="List 15"/>
    <w:basedOn w:val="ImportedStyle2"/>
    <w:rsid w:val="00983C95"/>
  </w:style>
  <w:style w:type="numbering" w:customStyle="1" w:styleId="ImportedStyle22">
    <w:name w:val="Imported Style 22"/>
    <w:rsid w:val="00983C95"/>
  </w:style>
  <w:style w:type="numbering" w:customStyle="1" w:styleId="List215">
    <w:name w:val="List 215"/>
    <w:basedOn w:val="ImportedStyle3"/>
    <w:rsid w:val="00983C95"/>
  </w:style>
  <w:style w:type="numbering" w:customStyle="1" w:styleId="ImportedStyle32">
    <w:name w:val="Imported Style 32"/>
    <w:rsid w:val="00983C95"/>
  </w:style>
  <w:style w:type="numbering" w:customStyle="1" w:styleId="Aucuneliste113">
    <w:name w:val="Aucune liste113"/>
    <w:next w:val="NoList"/>
    <w:uiPriority w:val="99"/>
    <w:semiHidden/>
    <w:unhideWhenUsed/>
    <w:rsid w:val="00983C95"/>
  </w:style>
  <w:style w:type="numbering" w:customStyle="1" w:styleId="NoList13">
    <w:name w:val="No List13"/>
    <w:next w:val="NoList"/>
    <w:uiPriority w:val="99"/>
    <w:semiHidden/>
    <w:unhideWhenUsed/>
    <w:rsid w:val="00983C95"/>
  </w:style>
  <w:style w:type="table" w:customStyle="1" w:styleId="TableGrid100">
    <w:name w:val="Table Grid10"/>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983C95"/>
  </w:style>
  <w:style w:type="numbering" w:customStyle="1" w:styleId="Aucuneliste42">
    <w:name w:val="Aucune liste42"/>
    <w:next w:val="NoList"/>
    <w:uiPriority w:val="99"/>
    <w:semiHidden/>
    <w:unhideWhenUsed/>
    <w:rsid w:val="00983C95"/>
  </w:style>
  <w:style w:type="numbering" w:customStyle="1" w:styleId="ArticleSection12">
    <w:name w:val="Article / Section12"/>
    <w:basedOn w:val="NoList"/>
    <w:next w:val="ArticleSection"/>
    <w:rsid w:val="00983C95"/>
  </w:style>
  <w:style w:type="numbering" w:customStyle="1" w:styleId="1ai12">
    <w:name w:val="1 / a / i12"/>
    <w:basedOn w:val="NoList"/>
    <w:next w:val="1ai"/>
    <w:rsid w:val="00983C95"/>
  </w:style>
  <w:style w:type="numbering" w:customStyle="1" w:styleId="11111112">
    <w:name w:val="1 / 1.1 / 1.1.112"/>
    <w:basedOn w:val="NoList"/>
    <w:next w:val="111111"/>
    <w:rsid w:val="00983C95"/>
  </w:style>
  <w:style w:type="numbering" w:customStyle="1" w:styleId="Aucuneliste52">
    <w:name w:val="Aucune liste52"/>
    <w:next w:val="NoList"/>
    <w:uiPriority w:val="99"/>
    <w:semiHidden/>
    <w:unhideWhenUsed/>
    <w:rsid w:val="00983C95"/>
  </w:style>
  <w:style w:type="numbering" w:customStyle="1" w:styleId="Aucuneliste62">
    <w:name w:val="Aucune liste62"/>
    <w:next w:val="NoList"/>
    <w:uiPriority w:val="99"/>
    <w:semiHidden/>
    <w:unhideWhenUsed/>
    <w:rsid w:val="00983C95"/>
  </w:style>
  <w:style w:type="numbering" w:customStyle="1" w:styleId="Aucuneliste72">
    <w:name w:val="Aucune liste72"/>
    <w:next w:val="NoList"/>
    <w:uiPriority w:val="99"/>
    <w:semiHidden/>
    <w:unhideWhenUsed/>
    <w:rsid w:val="00983C95"/>
  </w:style>
  <w:style w:type="numbering" w:customStyle="1" w:styleId="Aucuneliste82">
    <w:name w:val="Aucune liste82"/>
    <w:next w:val="NoList"/>
    <w:uiPriority w:val="99"/>
    <w:semiHidden/>
    <w:unhideWhenUsed/>
    <w:rsid w:val="00983C95"/>
  </w:style>
  <w:style w:type="numbering" w:customStyle="1" w:styleId="Aucuneliste122">
    <w:name w:val="Aucune liste122"/>
    <w:next w:val="NoList"/>
    <w:uiPriority w:val="99"/>
    <w:semiHidden/>
    <w:unhideWhenUsed/>
    <w:rsid w:val="00983C95"/>
  </w:style>
  <w:style w:type="numbering" w:customStyle="1" w:styleId="NoList112">
    <w:name w:val="No List112"/>
    <w:next w:val="NoList"/>
    <w:uiPriority w:val="99"/>
    <w:semiHidden/>
    <w:unhideWhenUsed/>
    <w:rsid w:val="00983C95"/>
  </w:style>
  <w:style w:type="numbering" w:customStyle="1" w:styleId="Aucuneliste92">
    <w:name w:val="Aucune liste92"/>
    <w:next w:val="NoList"/>
    <w:uiPriority w:val="99"/>
    <w:semiHidden/>
    <w:unhideWhenUsed/>
    <w:rsid w:val="00983C95"/>
  </w:style>
  <w:style w:type="numbering" w:customStyle="1" w:styleId="Aucuneliste102">
    <w:name w:val="Aucune liste102"/>
    <w:next w:val="NoList"/>
    <w:uiPriority w:val="99"/>
    <w:semiHidden/>
    <w:unhideWhenUsed/>
    <w:rsid w:val="00983C95"/>
  </w:style>
  <w:style w:type="numbering" w:customStyle="1" w:styleId="ImportedStyle412">
    <w:name w:val="Imported Style 412"/>
    <w:rsid w:val="00983C95"/>
  </w:style>
  <w:style w:type="numbering" w:customStyle="1" w:styleId="ImportedStyle512">
    <w:name w:val="Imported Style 512"/>
    <w:rsid w:val="00983C95"/>
  </w:style>
  <w:style w:type="numbering" w:customStyle="1" w:styleId="ImportedStyle112">
    <w:name w:val="Imported Style 112"/>
    <w:rsid w:val="00983C95"/>
  </w:style>
  <w:style w:type="table" w:customStyle="1" w:styleId="LightList-Accent11">
    <w:name w:val="Light List - Accent 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983C95"/>
  </w:style>
  <w:style w:type="character" w:customStyle="1" w:styleId="citation-doi">
    <w:name w:val="citation-doi"/>
    <w:basedOn w:val="DefaultParagraphFont"/>
    <w:rsid w:val="00983C95"/>
  </w:style>
  <w:style w:type="character" w:customStyle="1" w:styleId="authors-list-item">
    <w:name w:val="authors-list-item"/>
    <w:basedOn w:val="DefaultParagraphFont"/>
    <w:rsid w:val="00983C95"/>
  </w:style>
  <w:style w:type="character" w:customStyle="1" w:styleId="comma">
    <w:name w:val="comma"/>
    <w:basedOn w:val="DefaultParagraphFont"/>
    <w:rsid w:val="00983C95"/>
  </w:style>
  <w:style w:type="character" w:customStyle="1" w:styleId="docsum-authors">
    <w:name w:val="docsum-authors"/>
    <w:basedOn w:val="DefaultParagraphFont"/>
    <w:rsid w:val="00983C95"/>
  </w:style>
  <w:style w:type="character" w:customStyle="1" w:styleId="docsum-journal-citation">
    <w:name w:val="docsum-journal-citation"/>
    <w:basedOn w:val="DefaultParagraphFont"/>
    <w:rsid w:val="00983C95"/>
  </w:style>
  <w:style w:type="paragraph" w:customStyle="1" w:styleId="Point10">
    <w:name w:val="Point 1"/>
    <w:basedOn w:val="Normal"/>
    <w:rsid w:val="00983C95"/>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983C95"/>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983C95"/>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983C95"/>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983C95"/>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983C95"/>
  </w:style>
  <w:style w:type="character" w:customStyle="1" w:styleId="Mentionnonrsolue3">
    <w:name w:val="Mention non résolue3"/>
    <w:basedOn w:val="DefaultParagraphFont"/>
    <w:uiPriority w:val="99"/>
    <w:semiHidden/>
    <w:unhideWhenUsed/>
    <w:rsid w:val="00983C95"/>
    <w:rPr>
      <w:color w:val="605E5C"/>
      <w:shd w:val="clear" w:color="auto" w:fill="E1DFDD"/>
    </w:rPr>
  </w:style>
  <w:style w:type="paragraph" w:customStyle="1" w:styleId="Pa1">
    <w:name w:val="Pa1"/>
    <w:basedOn w:val="Default"/>
    <w:next w:val="Default"/>
    <w:uiPriority w:val="99"/>
    <w:rsid w:val="00983C95"/>
    <w:pPr>
      <w:spacing w:line="241" w:lineRule="atLeast"/>
    </w:pPr>
    <w:rPr>
      <w:rFonts w:eastAsia="MS Mincho"/>
      <w:color w:val="auto"/>
      <w:bdr w:val="nil"/>
      <w:lang w:val="en-GB"/>
    </w:rPr>
  </w:style>
  <w:style w:type="character" w:customStyle="1" w:styleId="A10">
    <w:name w:val="A1"/>
    <w:uiPriority w:val="99"/>
    <w:rsid w:val="00983C95"/>
    <w:rPr>
      <w:color w:val="000000"/>
      <w:sz w:val="14"/>
      <w:szCs w:val="14"/>
    </w:rPr>
  </w:style>
  <w:style w:type="character" w:customStyle="1" w:styleId="A2">
    <w:name w:val="A2"/>
    <w:uiPriority w:val="99"/>
    <w:rsid w:val="00983C95"/>
    <w:rPr>
      <w:color w:val="000000"/>
      <w:sz w:val="16"/>
      <w:szCs w:val="16"/>
    </w:rPr>
  </w:style>
  <w:style w:type="character" w:customStyle="1" w:styleId="A3">
    <w:name w:val="A3"/>
    <w:uiPriority w:val="99"/>
    <w:rsid w:val="00983C95"/>
    <w:rPr>
      <w:rFonts w:ascii="Tw Cen MT Condensed" w:hAnsi="Tw Cen MT Condensed" w:cs="Tw Cen MT Condensed"/>
      <w:color w:val="000000"/>
      <w:sz w:val="60"/>
      <w:szCs w:val="60"/>
    </w:rPr>
  </w:style>
  <w:style w:type="character" w:customStyle="1" w:styleId="A00">
    <w:name w:val="A0"/>
    <w:uiPriority w:val="99"/>
    <w:rsid w:val="00983C95"/>
    <w:rPr>
      <w:color w:val="000000"/>
      <w:sz w:val="15"/>
      <w:szCs w:val="15"/>
    </w:rPr>
  </w:style>
  <w:style w:type="paragraph" w:customStyle="1" w:styleId="author-type">
    <w:name w:val="author-typ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983C95"/>
  </w:style>
  <w:style w:type="paragraph" w:customStyle="1" w:styleId="page-range">
    <w:name w:val="page-range"/>
    <w:basedOn w:val="Normal"/>
    <w:rsid w:val="00983C9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983C95"/>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983C95"/>
  </w:style>
  <w:style w:type="paragraph" w:customStyle="1" w:styleId="TITRE">
    <w:name w:val="TITRE"/>
    <w:basedOn w:val="Normal"/>
    <w:rsid w:val="00983C95"/>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983C95"/>
    <w:pPr>
      <w:ind w:left="425" w:hanging="425"/>
    </w:pPr>
  </w:style>
  <w:style w:type="character" w:customStyle="1" w:styleId="Para3CarCar">
    <w:name w:val="Para 3 Car Car"/>
    <w:rsid w:val="00983C95"/>
    <w:rPr>
      <w:rFonts w:ascii="Arial" w:hAnsi="Arial"/>
      <w:bCs/>
      <w:sz w:val="18"/>
      <w:szCs w:val="22"/>
      <w:lang w:val="en-IE" w:eastAsia="en-US" w:bidi="ar-SA"/>
    </w:rPr>
  </w:style>
  <w:style w:type="paragraph" w:customStyle="1" w:styleId="entree-biblio">
    <w:name w:val="entree-biblio"/>
    <w:basedOn w:val="Normal"/>
    <w:rsid w:val="00983C9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983C95"/>
    <w:rPr>
      <w:rFonts w:ascii="Ottawa" w:hAnsi="Ottawa"/>
      <w:b/>
      <w:sz w:val="20"/>
      <w:szCs w:val="24"/>
      <w:lang w:val="en-GB"/>
    </w:rPr>
  </w:style>
  <w:style w:type="paragraph" w:customStyle="1" w:styleId="Ottawa1">
    <w:name w:val="Ottawa_1"/>
    <w:next w:val="Normal"/>
    <w:link w:val="Ottawa1Char"/>
    <w:qFormat/>
    <w:rsid w:val="00983C95"/>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983C95"/>
    <w:rPr>
      <w:rFonts w:ascii="Ottawa" w:hAnsi="Ottawa"/>
      <w:b/>
      <w:sz w:val="20"/>
      <w:szCs w:val="24"/>
      <w:lang w:val="en-GB"/>
    </w:rPr>
  </w:style>
  <w:style w:type="character" w:customStyle="1" w:styleId="Ottawa1Char">
    <w:name w:val="Ottawa_1 Char"/>
    <w:basedOn w:val="DefaultParagraphFont"/>
    <w:link w:val="Ottawa1"/>
    <w:rsid w:val="00983C95"/>
    <w:rPr>
      <w:rFonts w:ascii="Ottawa" w:eastAsia="Times New Roman" w:hAnsi="Ottawa" w:cs="Times New Roman"/>
      <w:b/>
      <w:bCs/>
      <w:lang w:val="en-GB" w:bidi="en-US"/>
    </w:rPr>
  </w:style>
  <w:style w:type="paragraph" w:customStyle="1" w:styleId="810">
    <w:name w:val="样式 8 10 磅"/>
    <w:rsid w:val="00983C95"/>
    <w:rPr>
      <w:rFonts w:ascii="Times New Roman" w:eastAsia="Calibri" w:hAnsi="Times New Roman" w:cs="Arial"/>
      <w:sz w:val="20"/>
      <w:lang w:val="en-GB"/>
    </w:rPr>
  </w:style>
  <w:style w:type="character" w:customStyle="1" w:styleId="title-text">
    <w:name w:val="title-text"/>
    <w:basedOn w:val="DefaultParagraphFont"/>
    <w:rsid w:val="00983C95"/>
  </w:style>
  <w:style w:type="character" w:customStyle="1" w:styleId="author-sup-separator">
    <w:name w:val="author-sup-separator"/>
    <w:basedOn w:val="DefaultParagraphFont"/>
    <w:rsid w:val="00983C95"/>
  </w:style>
  <w:style w:type="character" w:customStyle="1" w:styleId="identifier">
    <w:name w:val="identifier"/>
    <w:basedOn w:val="DefaultParagraphFont"/>
    <w:rsid w:val="00983C95"/>
  </w:style>
  <w:style w:type="character" w:customStyle="1" w:styleId="id-label">
    <w:name w:val="id-label"/>
    <w:basedOn w:val="DefaultParagraphFont"/>
    <w:rsid w:val="00983C95"/>
  </w:style>
  <w:style w:type="character" w:customStyle="1" w:styleId="gywzne">
    <w:name w:val="gywzne"/>
    <w:basedOn w:val="DefaultParagraphFont"/>
    <w:rsid w:val="00983C95"/>
  </w:style>
  <w:style w:type="numbering" w:customStyle="1" w:styleId="NoList9">
    <w:name w:val="No List9"/>
    <w:next w:val="NoList"/>
    <w:uiPriority w:val="99"/>
    <w:semiHidden/>
    <w:unhideWhenUsed/>
    <w:rsid w:val="00983C95"/>
  </w:style>
  <w:style w:type="table" w:customStyle="1" w:styleId="GridTable4-Accent111">
    <w:name w:val="Grid Table 4 - Accent 111"/>
    <w:basedOn w:val="TableNormal"/>
    <w:uiPriority w:val="49"/>
    <w:rsid w:val="00983C9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983C95"/>
  </w:style>
  <w:style w:type="numbering" w:customStyle="1" w:styleId="ImportedStyle57">
    <w:name w:val="Imported Style 57"/>
    <w:rsid w:val="00983C95"/>
  </w:style>
  <w:style w:type="numbering" w:customStyle="1" w:styleId="ImportedStyle17">
    <w:name w:val="Imported Style 17"/>
    <w:rsid w:val="00983C95"/>
  </w:style>
  <w:style w:type="table" w:customStyle="1" w:styleId="LightList-Accent12">
    <w:name w:val="Light List - Accent 12"/>
    <w:basedOn w:val="TableNormal"/>
    <w:next w:val="LightList-Accent1"/>
    <w:uiPriority w:val="61"/>
    <w:rsid w:val="00983C9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983C95"/>
  </w:style>
  <w:style w:type="numbering" w:customStyle="1" w:styleId="Aucuneliste23">
    <w:name w:val="Aucune liste23"/>
    <w:next w:val="NoList"/>
    <w:uiPriority w:val="99"/>
    <w:semiHidden/>
    <w:unhideWhenUsed/>
    <w:rsid w:val="00983C95"/>
  </w:style>
  <w:style w:type="table" w:customStyle="1" w:styleId="Grilledutableau13">
    <w:name w:val="Grille du tableau13"/>
    <w:basedOn w:val="TableNormal"/>
    <w:next w:val="TableGrid"/>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983C95"/>
  </w:style>
  <w:style w:type="numbering" w:customStyle="1" w:styleId="1ai7">
    <w:name w:val="1 / a / i7"/>
    <w:basedOn w:val="NoList"/>
    <w:next w:val="1ai"/>
    <w:rsid w:val="00983C95"/>
  </w:style>
  <w:style w:type="numbering" w:customStyle="1" w:styleId="1111118">
    <w:name w:val="1 / 1.1 / 1.1.18"/>
    <w:basedOn w:val="NoList"/>
    <w:next w:val="111111"/>
    <w:rsid w:val="00983C95"/>
  </w:style>
  <w:style w:type="numbering" w:customStyle="1" w:styleId="List06">
    <w:name w:val="List 06"/>
    <w:basedOn w:val="ImportedStyle1"/>
    <w:rsid w:val="00983C95"/>
  </w:style>
  <w:style w:type="numbering" w:customStyle="1" w:styleId="List16">
    <w:name w:val="List 16"/>
    <w:basedOn w:val="ImportedStyle2"/>
    <w:rsid w:val="00983C95"/>
  </w:style>
  <w:style w:type="numbering" w:customStyle="1" w:styleId="ImportedStyle23">
    <w:name w:val="Imported Style 23"/>
    <w:rsid w:val="00983C95"/>
  </w:style>
  <w:style w:type="numbering" w:customStyle="1" w:styleId="List216">
    <w:name w:val="List 216"/>
    <w:basedOn w:val="ImportedStyle3"/>
    <w:rsid w:val="00983C95"/>
  </w:style>
  <w:style w:type="numbering" w:customStyle="1" w:styleId="ImportedStyle33">
    <w:name w:val="Imported Style 33"/>
    <w:rsid w:val="00983C95"/>
  </w:style>
  <w:style w:type="numbering" w:customStyle="1" w:styleId="Aucuneliste114">
    <w:name w:val="Aucune liste114"/>
    <w:next w:val="NoList"/>
    <w:uiPriority w:val="99"/>
    <w:semiHidden/>
    <w:unhideWhenUsed/>
    <w:rsid w:val="00983C95"/>
  </w:style>
  <w:style w:type="numbering" w:customStyle="1" w:styleId="NoList14">
    <w:name w:val="No List14"/>
    <w:next w:val="NoList"/>
    <w:uiPriority w:val="99"/>
    <w:semiHidden/>
    <w:unhideWhenUsed/>
    <w:rsid w:val="00983C95"/>
  </w:style>
  <w:style w:type="table" w:customStyle="1" w:styleId="TableGrid14">
    <w:name w:val="Table Grid14"/>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983C9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983C9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983C95"/>
  </w:style>
  <w:style w:type="numbering" w:customStyle="1" w:styleId="Aucuneliste43">
    <w:name w:val="Aucune liste43"/>
    <w:next w:val="NoList"/>
    <w:uiPriority w:val="99"/>
    <w:semiHidden/>
    <w:unhideWhenUsed/>
    <w:rsid w:val="00983C95"/>
  </w:style>
  <w:style w:type="table" w:customStyle="1" w:styleId="Grilledutableau22">
    <w:name w:val="Grille du tableau22"/>
    <w:basedOn w:val="TableNormal"/>
    <w:next w:val="TableGrid"/>
    <w:rsid w:val="00983C9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983C95"/>
  </w:style>
  <w:style w:type="numbering" w:customStyle="1" w:styleId="1ai13">
    <w:name w:val="1 / a / i13"/>
    <w:basedOn w:val="NoList"/>
    <w:next w:val="1ai"/>
    <w:rsid w:val="00983C95"/>
  </w:style>
  <w:style w:type="numbering" w:customStyle="1" w:styleId="11111113">
    <w:name w:val="1 / 1.1 / 1.1.113"/>
    <w:basedOn w:val="NoList"/>
    <w:next w:val="111111"/>
    <w:rsid w:val="00983C95"/>
  </w:style>
  <w:style w:type="numbering" w:customStyle="1" w:styleId="Aucuneliste53">
    <w:name w:val="Aucune liste53"/>
    <w:next w:val="NoList"/>
    <w:uiPriority w:val="99"/>
    <w:semiHidden/>
    <w:unhideWhenUsed/>
    <w:rsid w:val="00983C95"/>
  </w:style>
  <w:style w:type="table" w:customStyle="1" w:styleId="Grilledutableau32">
    <w:name w:val="Grille du tableau3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983C95"/>
  </w:style>
  <w:style w:type="table" w:customStyle="1" w:styleId="Grilledutableau42">
    <w:name w:val="Grille du tableau4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983C95"/>
  </w:style>
  <w:style w:type="numbering" w:customStyle="1" w:styleId="Aucuneliste83">
    <w:name w:val="Aucune liste83"/>
    <w:next w:val="NoList"/>
    <w:uiPriority w:val="99"/>
    <w:semiHidden/>
    <w:unhideWhenUsed/>
    <w:rsid w:val="00983C95"/>
  </w:style>
  <w:style w:type="table" w:customStyle="1" w:styleId="Grilledutableau52">
    <w:name w:val="Grille du tableau5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983C95"/>
  </w:style>
  <w:style w:type="numbering" w:customStyle="1" w:styleId="NoList113">
    <w:name w:val="No List113"/>
    <w:next w:val="NoList"/>
    <w:uiPriority w:val="99"/>
    <w:semiHidden/>
    <w:unhideWhenUsed/>
    <w:rsid w:val="00983C95"/>
  </w:style>
  <w:style w:type="table" w:customStyle="1" w:styleId="TableGrid112">
    <w:name w:val="Table Grid112"/>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983C95"/>
  </w:style>
  <w:style w:type="table" w:customStyle="1" w:styleId="Grilledutableau62">
    <w:name w:val="Grille du tableau62"/>
    <w:basedOn w:val="TableNormal"/>
    <w:next w:val="TableGrid"/>
    <w:uiPriority w:val="5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983C95"/>
  </w:style>
  <w:style w:type="numbering" w:customStyle="1" w:styleId="ImportedStyle413">
    <w:name w:val="Imported Style 413"/>
    <w:rsid w:val="00983C95"/>
  </w:style>
  <w:style w:type="numbering" w:customStyle="1" w:styleId="ImportedStyle513">
    <w:name w:val="Imported Style 513"/>
    <w:rsid w:val="00983C95"/>
  </w:style>
  <w:style w:type="numbering" w:customStyle="1" w:styleId="ImportedStyle113">
    <w:name w:val="Imported Style 113"/>
    <w:rsid w:val="00983C95"/>
  </w:style>
  <w:style w:type="table" w:customStyle="1" w:styleId="Grilledutableau72">
    <w:name w:val="Grille du tableau72"/>
    <w:basedOn w:val="TableNormal"/>
    <w:next w:val="TableGrid"/>
    <w:uiPriority w:val="3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983C9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983C9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983C95"/>
  </w:style>
  <w:style w:type="table" w:customStyle="1" w:styleId="-111">
    <w:name w:val="浅色列表 - 强调文字颜色 111"/>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983C95"/>
  </w:style>
  <w:style w:type="table" w:customStyle="1" w:styleId="TableGrid113">
    <w:name w:val="TableGrid1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983C95"/>
  </w:style>
  <w:style w:type="table" w:customStyle="1" w:styleId="Grilledutableau91">
    <w:name w:val="Grille du tableau91"/>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983C95"/>
  </w:style>
  <w:style w:type="numbering" w:customStyle="1" w:styleId="ImportedStyle424">
    <w:name w:val="Imported Style 424"/>
    <w:rsid w:val="00983C95"/>
  </w:style>
  <w:style w:type="numbering" w:customStyle="1" w:styleId="ImportedStyle524">
    <w:name w:val="Imported Style 524"/>
    <w:rsid w:val="00983C95"/>
  </w:style>
  <w:style w:type="numbering" w:customStyle="1" w:styleId="ImportedStyle124">
    <w:name w:val="Imported Style 124"/>
    <w:rsid w:val="00983C95"/>
  </w:style>
  <w:style w:type="table" w:customStyle="1" w:styleId="Grilledutableau111">
    <w:name w:val="Grille du tableau11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983C95"/>
  </w:style>
  <w:style w:type="numbering" w:customStyle="1" w:styleId="1ai24">
    <w:name w:val="1 / a / i24"/>
    <w:basedOn w:val="NoList"/>
    <w:next w:val="1ai"/>
    <w:rsid w:val="00983C95"/>
  </w:style>
  <w:style w:type="numbering" w:customStyle="1" w:styleId="11111124">
    <w:name w:val="1 / 1.1 / 1.1.124"/>
    <w:basedOn w:val="NoList"/>
    <w:next w:val="111111"/>
    <w:rsid w:val="00983C95"/>
  </w:style>
  <w:style w:type="numbering" w:customStyle="1" w:styleId="List014">
    <w:name w:val="List 014"/>
    <w:basedOn w:val="ImportedStyle1"/>
    <w:rsid w:val="00983C95"/>
  </w:style>
  <w:style w:type="numbering" w:customStyle="1" w:styleId="List114">
    <w:name w:val="List 114"/>
    <w:basedOn w:val="ImportedStyle2"/>
    <w:rsid w:val="00983C95"/>
  </w:style>
  <w:style w:type="numbering" w:customStyle="1" w:styleId="ImportedStyle211">
    <w:name w:val="Imported Style 211"/>
    <w:rsid w:val="00983C95"/>
  </w:style>
  <w:style w:type="numbering" w:customStyle="1" w:styleId="List2114">
    <w:name w:val="List 2114"/>
    <w:basedOn w:val="ImportedStyle3"/>
    <w:rsid w:val="00983C95"/>
  </w:style>
  <w:style w:type="numbering" w:customStyle="1" w:styleId="ImportedStyle311">
    <w:name w:val="Imported Style 311"/>
    <w:rsid w:val="00983C95"/>
  </w:style>
  <w:style w:type="numbering" w:customStyle="1" w:styleId="Aucuneliste1121">
    <w:name w:val="Aucune liste1121"/>
    <w:next w:val="NoList"/>
    <w:uiPriority w:val="99"/>
    <w:semiHidden/>
    <w:unhideWhenUsed/>
    <w:rsid w:val="00983C95"/>
  </w:style>
  <w:style w:type="numbering" w:customStyle="1" w:styleId="NoList121">
    <w:name w:val="No List121"/>
    <w:next w:val="NoList"/>
    <w:uiPriority w:val="99"/>
    <w:semiHidden/>
    <w:unhideWhenUsed/>
    <w:rsid w:val="00983C95"/>
  </w:style>
  <w:style w:type="table" w:customStyle="1" w:styleId="TableGrid121">
    <w:name w:val="Table Grid12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983C95"/>
  </w:style>
  <w:style w:type="numbering" w:customStyle="1" w:styleId="Aucuneliste411">
    <w:name w:val="Aucune liste411"/>
    <w:next w:val="NoList"/>
    <w:uiPriority w:val="99"/>
    <w:semiHidden/>
    <w:unhideWhenUsed/>
    <w:rsid w:val="00983C95"/>
  </w:style>
  <w:style w:type="table" w:customStyle="1" w:styleId="Grilledutableau211">
    <w:name w:val="Grille du tableau211"/>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983C95"/>
  </w:style>
  <w:style w:type="numbering" w:customStyle="1" w:styleId="1ai111">
    <w:name w:val="1 / a / i111"/>
    <w:basedOn w:val="NoList"/>
    <w:next w:val="1ai"/>
    <w:rsid w:val="00983C95"/>
  </w:style>
  <w:style w:type="numbering" w:customStyle="1" w:styleId="111111111">
    <w:name w:val="1 / 1.1 / 1.1.1111"/>
    <w:basedOn w:val="NoList"/>
    <w:next w:val="111111"/>
    <w:rsid w:val="00983C95"/>
  </w:style>
  <w:style w:type="numbering" w:customStyle="1" w:styleId="Aucuneliste511">
    <w:name w:val="Aucune liste511"/>
    <w:next w:val="NoList"/>
    <w:uiPriority w:val="99"/>
    <w:semiHidden/>
    <w:unhideWhenUsed/>
    <w:rsid w:val="00983C95"/>
  </w:style>
  <w:style w:type="table" w:customStyle="1" w:styleId="Grilledutableau311">
    <w:name w:val="Grille du tableau31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983C95"/>
  </w:style>
  <w:style w:type="table" w:customStyle="1" w:styleId="Grilledutableau411">
    <w:name w:val="Grille du tableau41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983C95"/>
  </w:style>
  <w:style w:type="numbering" w:customStyle="1" w:styleId="Aucuneliste811">
    <w:name w:val="Aucune liste811"/>
    <w:next w:val="NoList"/>
    <w:uiPriority w:val="99"/>
    <w:semiHidden/>
    <w:unhideWhenUsed/>
    <w:rsid w:val="00983C95"/>
  </w:style>
  <w:style w:type="table" w:customStyle="1" w:styleId="Grilledutableau511">
    <w:name w:val="Grille du tableau51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983C95"/>
  </w:style>
  <w:style w:type="numbering" w:customStyle="1" w:styleId="NoList1112">
    <w:name w:val="No List1112"/>
    <w:next w:val="NoList"/>
    <w:uiPriority w:val="99"/>
    <w:semiHidden/>
    <w:unhideWhenUsed/>
    <w:rsid w:val="00983C95"/>
  </w:style>
  <w:style w:type="table" w:customStyle="1" w:styleId="TableGrid1111">
    <w:name w:val="Table Grid1111"/>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983C95"/>
  </w:style>
  <w:style w:type="table" w:customStyle="1" w:styleId="Grilledutableau611">
    <w:name w:val="Grille du tableau611"/>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983C95"/>
  </w:style>
  <w:style w:type="numbering" w:customStyle="1" w:styleId="ImportedStyle4111">
    <w:name w:val="Imported Style 4111"/>
    <w:rsid w:val="00983C95"/>
  </w:style>
  <w:style w:type="numbering" w:customStyle="1" w:styleId="ImportedStyle5111">
    <w:name w:val="Imported Style 5111"/>
    <w:rsid w:val="00983C95"/>
  </w:style>
  <w:style w:type="numbering" w:customStyle="1" w:styleId="ImportedStyle1111">
    <w:name w:val="Imported Style 1111"/>
    <w:rsid w:val="00983C95"/>
  </w:style>
  <w:style w:type="table" w:customStyle="1" w:styleId="Grilledutableau711">
    <w:name w:val="Grille du tableau711"/>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983C95"/>
  </w:style>
  <w:style w:type="table" w:customStyle="1" w:styleId="Grilledutableau101">
    <w:name w:val="Grille du tableau10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983C95"/>
  </w:style>
  <w:style w:type="numbering" w:customStyle="1" w:styleId="ImportedStyle531">
    <w:name w:val="Imported Style 531"/>
    <w:rsid w:val="00983C95"/>
  </w:style>
  <w:style w:type="numbering" w:customStyle="1" w:styleId="ImportedStyle131">
    <w:name w:val="Imported Style 131"/>
    <w:rsid w:val="00983C95"/>
  </w:style>
  <w:style w:type="numbering" w:customStyle="1" w:styleId="ArticleSection31">
    <w:name w:val="Article / Section31"/>
    <w:basedOn w:val="NoList"/>
    <w:next w:val="ArticleSection"/>
    <w:rsid w:val="00983C95"/>
  </w:style>
  <w:style w:type="numbering" w:customStyle="1" w:styleId="1ai31">
    <w:name w:val="1 / a / i31"/>
    <w:basedOn w:val="NoList"/>
    <w:next w:val="1ai"/>
    <w:rsid w:val="00983C95"/>
  </w:style>
  <w:style w:type="numbering" w:customStyle="1" w:styleId="11111131">
    <w:name w:val="1 / 1.1 / 1.1.131"/>
    <w:basedOn w:val="NoList"/>
    <w:next w:val="111111"/>
    <w:rsid w:val="00983C95"/>
  </w:style>
  <w:style w:type="numbering" w:customStyle="1" w:styleId="List021">
    <w:name w:val="List 021"/>
    <w:basedOn w:val="ImportedStyle1"/>
    <w:rsid w:val="00983C95"/>
  </w:style>
  <w:style w:type="numbering" w:customStyle="1" w:styleId="List121">
    <w:name w:val="List 121"/>
    <w:basedOn w:val="ImportedStyle2"/>
    <w:rsid w:val="00983C95"/>
  </w:style>
  <w:style w:type="numbering" w:customStyle="1" w:styleId="List2121">
    <w:name w:val="List 2121"/>
    <w:basedOn w:val="ImportedStyle3"/>
    <w:rsid w:val="00983C95"/>
  </w:style>
  <w:style w:type="numbering" w:customStyle="1" w:styleId="ImportedStyle4211">
    <w:name w:val="Imported Style 4211"/>
    <w:rsid w:val="00983C95"/>
  </w:style>
  <w:style w:type="numbering" w:customStyle="1" w:styleId="ImportedStyle5211">
    <w:name w:val="Imported Style 5211"/>
    <w:rsid w:val="00983C95"/>
  </w:style>
  <w:style w:type="numbering" w:customStyle="1" w:styleId="ImportedStyle1211">
    <w:name w:val="Imported Style 1211"/>
    <w:rsid w:val="00983C95"/>
  </w:style>
  <w:style w:type="numbering" w:customStyle="1" w:styleId="ArticleSection211">
    <w:name w:val="Article / Section211"/>
    <w:basedOn w:val="NoList"/>
    <w:next w:val="ArticleSection"/>
    <w:rsid w:val="00983C95"/>
  </w:style>
  <w:style w:type="numbering" w:customStyle="1" w:styleId="1ai211">
    <w:name w:val="1 / a / i211"/>
    <w:basedOn w:val="NoList"/>
    <w:next w:val="1ai"/>
    <w:rsid w:val="00983C95"/>
  </w:style>
  <w:style w:type="numbering" w:customStyle="1" w:styleId="111111211">
    <w:name w:val="1 / 1.1 / 1.1.1211"/>
    <w:basedOn w:val="NoList"/>
    <w:next w:val="111111"/>
    <w:rsid w:val="00983C95"/>
  </w:style>
  <w:style w:type="numbering" w:customStyle="1" w:styleId="List0111">
    <w:name w:val="List 0111"/>
    <w:basedOn w:val="ImportedStyle1"/>
    <w:rsid w:val="00983C95"/>
  </w:style>
  <w:style w:type="numbering" w:customStyle="1" w:styleId="List1111">
    <w:name w:val="List 1111"/>
    <w:basedOn w:val="ImportedStyle2"/>
    <w:rsid w:val="00983C95"/>
  </w:style>
  <w:style w:type="numbering" w:customStyle="1" w:styleId="List21111">
    <w:name w:val="List 21111"/>
    <w:basedOn w:val="ImportedStyle3"/>
    <w:rsid w:val="00983C95"/>
  </w:style>
  <w:style w:type="numbering" w:customStyle="1" w:styleId="ImportedStyle441">
    <w:name w:val="Imported Style 441"/>
    <w:rsid w:val="00983C95"/>
  </w:style>
  <w:style w:type="numbering" w:customStyle="1" w:styleId="ImportedStyle541">
    <w:name w:val="Imported Style 541"/>
    <w:rsid w:val="00983C95"/>
  </w:style>
  <w:style w:type="numbering" w:customStyle="1" w:styleId="ImportedStyle141">
    <w:name w:val="Imported Style 141"/>
    <w:rsid w:val="00983C95"/>
  </w:style>
  <w:style w:type="table" w:customStyle="1" w:styleId="TableGrid02">
    <w:name w:val="Table Grid0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983C95"/>
  </w:style>
  <w:style w:type="numbering" w:customStyle="1" w:styleId="1ai41">
    <w:name w:val="1 / a / i41"/>
    <w:basedOn w:val="NoList"/>
    <w:next w:val="1ai"/>
    <w:rsid w:val="00983C95"/>
  </w:style>
  <w:style w:type="numbering" w:customStyle="1" w:styleId="11111141">
    <w:name w:val="1 / 1.1 / 1.1.141"/>
    <w:basedOn w:val="NoList"/>
    <w:next w:val="111111"/>
    <w:rsid w:val="00983C95"/>
  </w:style>
  <w:style w:type="numbering" w:customStyle="1" w:styleId="List031">
    <w:name w:val="List 031"/>
    <w:basedOn w:val="ImportedStyle1"/>
    <w:rsid w:val="00983C95"/>
  </w:style>
  <w:style w:type="numbering" w:customStyle="1" w:styleId="List131">
    <w:name w:val="List 131"/>
    <w:basedOn w:val="ImportedStyle2"/>
    <w:rsid w:val="00983C95"/>
  </w:style>
  <w:style w:type="numbering" w:customStyle="1" w:styleId="List2131">
    <w:name w:val="List 2131"/>
    <w:basedOn w:val="ImportedStyle3"/>
    <w:rsid w:val="00983C95"/>
  </w:style>
  <w:style w:type="numbering" w:customStyle="1" w:styleId="ImportedStyle4221">
    <w:name w:val="Imported Style 4221"/>
    <w:rsid w:val="00983C95"/>
  </w:style>
  <w:style w:type="numbering" w:customStyle="1" w:styleId="ImportedStyle5221">
    <w:name w:val="Imported Style 5221"/>
    <w:rsid w:val="00983C95"/>
  </w:style>
  <w:style w:type="numbering" w:customStyle="1" w:styleId="ImportedStyle1221">
    <w:name w:val="Imported Style 1221"/>
    <w:rsid w:val="00983C95"/>
  </w:style>
  <w:style w:type="numbering" w:customStyle="1" w:styleId="ArticleSection221">
    <w:name w:val="Article / Section221"/>
    <w:basedOn w:val="NoList"/>
    <w:next w:val="ArticleSection"/>
    <w:rsid w:val="00983C95"/>
  </w:style>
  <w:style w:type="numbering" w:customStyle="1" w:styleId="1ai221">
    <w:name w:val="1 / a / i221"/>
    <w:basedOn w:val="NoList"/>
    <w:next w:val="1ai"/>
    <w:rsid w:val="00983C95"/>
  </w:style>
  <w:style w:type="numbering" w:customStyle="1" w:styleId="111111221">
    <w:name w:val="1 / 1.1 / 1.1.1221"/>
    <w:basedOn w:val="NoList"/>
    <w:next w:val="111111"/>
    <w:rsid w:val="00983C95"/>
  </w:style>
  <w:style w:type="numbering" w:customStyle="1" w:styleId="List0121">
    <w:name w:val="List 0121"/>
    <w:basedOn w:val="ImportedStyle1"/>
    <w:rsid w:val="00983C95"/>
  </w:style>
  <w:style w:type="numbering" w:customStyle="1" w:styleId="List1121">
    <w:name w:val="List 1121"/>
    <w:basedOn w:val="ImportedStyle2"/>
    <w:rsid w:val="00983C95"/>
  </w:style>
  <w:style w:type="numbering" w:customStyle="1" w:styleId="List21121">
    <w:name w:val="List 21121"/>
    <w:basedOn w:val="ImportedStyle3"/>
    <w:rsid w:val="00983C95"/>
  </w:style>
  <w:style w:type="numbering" w:customStyle="1" w:styleId="ImportedStyle451">
    <w:name w:val="Imported Style 451"/>
    <w:rsid w:val="00983C95"/>
  </w:style>
  <w:style w:type="numbering" w:customStyle="1" w:styleId="ImportedStyle551">
    <w:name w:val="Imported Style 551"/>
    <w:rsid w:val="00983C95"/>
  </w:style>
  <w:style w:type="numbering" w:customStyle="1" w:styleId="ImportedStyle151">
    <w:name w:val="Imported Style 151"/>
    <w:rsid w:val="00983C95"/>
  </w:style>
  <w:style w:type="numbering" w:customStyle="1" w:styleId="ArticleSection51">
    <w:name w:val="Article / Section51"/>
    <w:basedOn w:val="NoList"/>
    <w:next w:val="ArticleSection"/>
    <w:rsid w:val="00983C95"/>
  </w:style>
  <w:style w:type="numbering" w:customStyle="1" w:styleId="1ai51">
    <w:name w:val="1 / a / i51"/>
    <w:basedOn w:val="NoList"/>
    <w:next w:val="1ai"/>
    <w:rsid w:val="00983C95"/>
  </w:style>
  <w:style w:type="numbering" w:customStyle="1" w:styleId="11111151">
    <w:name w:val="1 / 1.1 / 1.1.151"/>
    <w:basedOn w:val="NoList"/>
    <w:next w:val="111111"/>
    <w:rsid w:val="00983C95"/>
  </w:style>
  <w:style w:type="numbering" w:customStyle="1" w:styleId="List041">
    <w:name w:val="List 041"/>
    <w:basedOn w:val="ImportedStyle1"/>
    <w:rsid w:val="00983C95"/>
  </w:style>
  <w:style w:type="numbering" w:customStyle="1" w:styleId="List141">
    <w:name w:val="List 141"/>
    <w:basedOn w:val="ImportedStyle2"/>
    <w:rsid w:val="00983C95"/>
  </w:style>
  <w:style w:type="numbering" w:customStyle="1" w:styleId="List2141">
    <w:name w:val="List 2141"/>
    <w:basedOn w:val="ImportedStyle3"/>
    <w:rsid w:val="00983C95"/>
  </w:style>
  <w:style w:type="numbering" w:customStyle="1" w:styleId="ImportedStyle4231">
    <w:name w:val="Imported Style 4231"/>
    <w:rsid w:val="00983C95"/>
  </w:style>
  <w:style w:type="numbering" w:customStyle="1" w:styleId="ImportedStyle5231">
    <w:name w:val="Imported Style 5231"/>
    <w:rsid w:val="00983C95"/>
  </w:style>
  <w:style w:type="numbering" w:customStyle="1" w:styleId="ImportedStyle1231">
    <w:name w:val="Imported Style 1231"/>
    <w:rsid w:val="00983C95"/>
  </w:style>
  <w:style w:type="numbering" w:customStyle="1" w:styleId="ArticleSection231">
    <w:name w:val="Article / Section231"/>
    <w:basedOn w:val="NoList"/>
    <w:next w:val="ArticleSection"/>
    <w:rsid w:val="00983C95"/>
  </w:style>
  <w:style w:type="numbering" w:customStyle="1" w:styleId="1ai231">
    <w:name w:val="1 / a / i231"/>
    <w:basedOn w:val="NoList"/>
    <w:next w:val="1ai"/>
    <w:rsid w:val="00983C95"/>
  </w:style>
  <w:style w:type="numbering" w:customStyle="1" w:styleId="111111231">
    <w:name w:val="1 / 1.1 / 1.1.1231"/>
    <w:basedOn w:val="NoList"/>
    <w:next w:val="111111"/>
    <w:rsid w:val="00983C95"/>
  </w:style>
  <w:style w:type="numbering" w:customStyle="1" w:styleId="List0131">
    <w:name w:val="List 0131"/>
    <w:basedOn w:val="ImportedStyle1"/>
    <w:rsid w:val="00983C95"/>
  </w:style>
  <w:style w:type="numbering" w:customStyle="1" w:styleId="List1131">
    <w:name w:val="List 1131"/>
    <w:basedOn w:val="ImportedStyle2"/>
    <w:rsid w:val="00983C95"/>
  </w:style>
  <w:style w:type="numbering" w:customStyle="1" w:styleId="List21131">
    <w:name w:val="List 21131"/>
    <w:basedOn w:val="ImportedStyle3"/>
    <w:rsid w:val="00983C95"/>
  </w:style>
  <w:style w:type="numbering" w:customStyle="1" w:styleId="NoList31">
    <w:name w:val="No List31"/>
    <w:next w:val="NoList"/>
    <w:uiPriority w:val="99"/>
    <w:semiHidden/>
    <w:unhideWhenUsed/>
    <w:rsid w:val="00983C95"/>
  </w:style>
  <w:style w:type="table" w:customStyle="1" w:styleId="TableGrid131">
    <w:name w:val="Table Grid13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983C95"/>
  </w:style>
  <w:style w:type="table" w:customStyle="1" w:styleId="TableGrid011">
    <w:name w:val="Table Grid011"/>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983C95"/>
  </w:style>
  <w:style w:type="numbering" w:customStyle="1" w:styleId="ImportedStyle461">
    <w:name w:val="Imported Style 461"/>
    <w:rsid w:val="00983C95"/>
  </w:style>
  <w:style w:type="numbering" w:customStyle="1" w:styleId="ImportedStyle561">
    <w:name w:val="Imported Style 561"/>
    <w:rsid w:val="00983C95"/>
  </w:style>
  <w:style w:type="numbering" w:customStyle="1" w:styleId="ImportedStyle161">
    <w:name w:val="Imported Style 161"/>
    <w:rsid w:val="00983C95"/>
  </w:style>
  <w:style w:type="numbering" w:customStyle="1" w:styleId="ArticleSection61">
    <w:name w:val="Article / Section61"/>
    <w:basedOn w:val="NoList"/>
    <w:next w:val="ArticleSection"/>
    <w:rsid w:val="00983C95"/>
  </w:style>
  <w:style w:type="numbering" w:customStyle="1" w:styleId="1ai61">
    <w:name w:val="1 / a / i61"/>
    <w:basedOn w:val="NoList"/>
    <w:next w:val="1ai"/>
    <w:rsid w:val="00983C95"/>
  </w:style>
  <w:style w:type="numbering" w:customStyle="1" w:styleId="11111161">
    <w:name w:val="1 / 1.1 / 1.1.161"/>
    <w:basedOn w:val="NoList"/>
    <w:next w:val="111111"/>
    <w:rsid w:val="00983C95"/>
  </w:style>
  <w:style w:type="numbering" w:customStyle="1" w:styleId="List051">
    <w:name w:val="List 051"/>
    <w:basedOn w:val="ImportedStyle1"/>
    <w:rsid w:val="00983C95"/>
  </w:style>
  <w:style w:type="numbering" w:customStyle="1" w:styleId="List151">
    <w:name w:val="List 151"/>
    <w:basedOn w:val="ImportedStyle2"/>
    <w:rsid w:val="00983C95"/>
  </w:style>
  <w:style w:type="numbering" w:customStyle="1" w:styleId="ImportedStyle221">
    <w:name w:val="Imported Style 221"/>
    <w:rsid w:val="00983C95"/>
  </w:style>
  <w:style w:type="numbering" w:customStyle="1" w:styleId="List2151">
    <w:name w:val="List 2151"/>
    <w:basedOn w:val="ImportedStyle3"/>
    <w:rsid w:val="00983C95"/>
  </w:style>
  <w:style w:type="numbering" w:customStyle="1" w:styleId="ImportedStyle321">
    <w:name w:val="Imported Style 321"/>
    <w:rsid w:val="00983C95"/>
  </w:style>
  <w:style w:type="numbering" w:customStyle="1" w:styleId="Aucuneliste1131">
    <w:name w:val="Aucune liste1131"/>
    <w:next w:val="NoList"/>
    <w:uiPriority w:val="99"/>
    <w:semiHidden/>
    <w:unhideWhenUsed/>
    <w:rsid w:val="00983C95"/>
  </w:style>
  <w:style w:type="numbering" w:customStyle="1" w:styleId="NoList131">
    <w:name w:val="No List131"/>
    <w:next w:val="NoList"/>
    <w:uiPriority w:val="99"/>
    <w:semiHidden/>
    <w:unhideWhenUsed/>
    <w:rsid w:val="00983C95"/>
  </w:style>
  <w:style w:type="table" w:customStyle="1" w:styleId="TableGrid101">
    <w:name w:val="Table Grid101"/>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983C95"/>
  </w:style>
  <w:style w:type="numbering" w:customStyle="1" w:styleId="Aucuneliste421">
    <w:name w:val="Aucune liste421"/>
    <w:next w:val="NoList"/>
    <w:uiPriority w:val="99"/>
    <w:semiHidden/>
    <w:unhideWhenUsed/>
    <w:rsid w:val="00983C95"/>
  </w:style>
  <w:style w:type="numbering" w:customStyle="1" w:styleId="ArticleSection121">
    <w:name w:val="Article / Section121"/>
    <w:basedOn w:val="NoList"/>
    <w:next w:val="ArticleSection"/>
    <w:rsid w:val="00983C95"/>
  </w:style>
  <w:style w:type="numbering" w:customStyle="1" w:styleId="1ai121">
    <w:name w:val="1 / a / i121"/>
    <w:basedOn w:val="NoList"/>
    <w:next w:val="1ai"/>
    <w:rsid w:val="00983C95"/>
  </w:style>
  <w:style w:type="numbering" w:customStyle="1" w:styleId="111111121">
    <w:name w:val="1 / 1.1 / 1.1.1121"/>
    <w:basedOn w:val="NoList"/>
    <w:next w:val="111111"/>
    <w:rsid w:val="00983C95"/>
  </w:style>
  <w:style w:type="numbering" w:customStyle="1" w:styleId="Aucuneliste521">
    <w:name w:val="Aucune liste521"/>
    <w:next w:val="NoList"/>
    <w:uiPriority w:val="99"/>
    <w:semiHidden/>
    <w:unhideWhenUsed/>
    <w:rsid w:val="00983C95"/>
  </w:style>
  <w:style w:type="numbering" w:customStyle="1" w:styleId="Aucuneliste621">
    <w:name w:val="Aucune liste621"/>
    <w:next w:val="NoList"/>
    <w:uiPriority w:val="99"/>
    <w:semiHidden/>
    <w:unhideWhenUsed/>
    <w:rsid w:val="00983C95"/>
  </w:style>
  <w:style w:type="numbering" w:customStyle="1" w:styleId="Aucuneliste721">
    <w:name w:val="Aucune liste721"/>
    <w:next w:val="NoList"/>
    <w:uiPriority w:val="99"/>
    <w:semiHidden/>
    <w:unhideWhenUsed/>
    <w:rsid w:val="00983C95"/>
  </w:style>
  <w:style w:type="numbering" w:customStyle="1" w:styleId="Aucuneliste821">
    <w:name w:val="Aucune liste821"/>
    <w:next w:val="NoList"/>
    <w:uiPriority w:val="99"/>
    <w:semiHidden/>
    <w:unhideWhenUsed/>
    <w:rsid w:val="00983C95"/>
  </w:style>
  <w:style w:type="numbering" w:customStyle="1" w:styleId="Aucuneliste1221">
    <w:name w:val="Aucune liste1221"/>
    <w:next w:val="NoList"/>
    <w:uiPriority w:val="99"/>
    <w:semiHidden/>
    <w:unhideWhenUsed/>
    <w:rsid w:val="00983C95"/>
  </w:style>
  <w:style w:type="numbering" w:customStyle="1" w:styleId="NoList1121">
    <w:name w:val="No List1121"/>
    <w:next w:val="NoList"/>
    <w:uiPriority w:val="99"/>
    <w:semiHidden/>
    <w:unhideWhenUsed/>
    <w:rsid w:val="00983C95"/>
  </w:style>
  <w:style w:type="numbering" w:customStyle="1" w:styleId="Aucuneliste921">
    <w:name w:val="Aucune liste921"/>
    <w:next w:val="NoList"/>
    <w:uiPriority w:val="99"/>
    <w:semiHidden/>
    <w:unhideWhenUsed/>
    <w:rsid w:val="00983C95"/>
  </w:style>
  <w:style w:type="numbering" w:customStyle="1" w:styleId="Aucuneliste1021">
    <w:name w:val="Aucune liste1021"/>
    <w:next w:val="NoList"/>
    <w:uiPriority w:val="99"/>
    <w:semiHidden/>
    <w:unhideWhenUsed/>
    <w:rsid w:val="00983C95"/>
  </w:style>
  <w:style w:type="numbering" w:customStyle="1" w:styleId="ImportedStyle4121">
    <w:name w:val="Imported Style 4121"/>
    <w:rsid w:val="00983C95"/>
  </w:style>
  <w:style w:type="numbering" w:customStyle="1" w:styleId="ImportedStyle5121">
    <w:name w:val="Imported Style 5121"/>
    <w:rsid w:val="00983C95"/>
  </w:style>
  <w:style w:type="numbering" w:customStyle="1" w:styleId="ImportedStyle1121">
    <w:name w:val="Imported Style 1121"/>
    <w:rsid w:val="00983C95"/>
  </w:style>
  <w:style w:type="table" w:customStyle="1" w:styleId="LightList-Accent111">
    <w:name w:val="Light List - Accent 1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983C95"/>
  </w:style>
  <w:style w:type="table" w:customStyle="1" w:styleId="TableNormal11">
    <w:name w:val="Table Normal11"/>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983C95"/>
  </w:style>
  <w:style w:type="table" w:customStyle="1" w:styleId="TableGrid310">
    <w:name w:val="Table Grid31"/>
    <w:basedOn w:val="TableNormal"/>
    <w:next w:val="TableGrid"/>
    <w:uiPriority w:val="59"/>
    <w:rsid w:val="00983C9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983C95"/>
    <w:rPr>
      <w:color w:val="605E5C"/>
      <w:shd w:val="clear" w:color="auto" w:fill="E1DFDD"/>
    </w:rPr>
  </w:style>
  <w:style w:type="numbering" w:customStyle="1" w:styleId="11111171">
    <w:name w:val="1 / 1.1 / 1.1.171"/>
    <w:basedOn w:val="NoList"/>
    <w:next w:val="111111"/>
    <w:rsid w:val="00983C95"/>
  </w:style>
  <w:style w:type="numbering" w:customStyle="1" w:styleId="NoList51">
    <w:name w:val="No List51"/>
    <w:next w:val="NoList"/>
    <w:uiPriority w:val="99"/>
    <w:semiHidden/>
    <w:unhideWhenUsed/>
    <w:rsid w:val="00983C95"/>
  </w:style>
  <w:style w:type="table" w:customStyle="1" w:styleId="TableGrid410">
    <w:name w:val="Table Grid41"/>
    <w:basedOn w:val="TableNormal"/>
    <w:next w:val="TableGrid"/>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83C95"/>
  </w:style>
  <w:style w:type="table" w:customStyle="1" w:styleId="TableGrid15">
    <w:name w:val="Table Grid15"/>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983C95"/>
  </w:style>
  <w:style w:type="table" w:customStyle="1" w:styleId="TableGrid03">
    <w:name w:val="Table Grid03"/>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983C95"/>
  </w:style>
  <w:style w:type="numbering" w:customStyle="1" w:styleId="ImportedStyle48">
    <w:name w:val="Imported Style 48"/>
    <w:rsid w:val="00983C95"/>
  </w:style>
  <w:style w:type="numbering" w:customStyle="1" w:styleId="ImportedStyle18">
    <w:name w:val="Imported Style 18"/>
    <w:rsid w:val="00983C95"/>
  </w:style>
  <w:style w:type="table" w:customStyle="1" w:styleId="Grilledutableau14">
    <w:name w:val="Grille du tableau14"/>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983C95"/>
  </w:style>
  <w:style w:type="numbering" w:customStyle="1" w:styleId="1ai8">
    <w:name w:val="1 / a / i8"/>
    <w:basedOn w:val="NoList"/>
    <w:next w:val="1ai"/>
    <w:rsid w:val="00983C95"/>
  </w:style>
  <w:style w:type="numbering" w:customStyle="1" w:styleId="1111119">
    <w:name w:val="1 / 1.1 / 1.1.19"/>
    <w:basedOn w:val="NoList"/>
    <w:next w:val="111111"/>
    <w:rsid w:val="00983C95"/>
  </w:style>
  <w:style w:type="numbering" w:customStyle="1" w:styleId="List07">
    <w:name w:val="List 07"/>
    <w:basedOn w:val="ImportedStyle1"/>
    <w:rsid w:val="00983C95"/>
  </w:style>
  <w:style w:type="numbering" w:customStyle="1" w:styleId="List17">
    <w:name w:val="List 17"/>
    <w:basedOn w:val="ImportedStyle2"/>
    <w:rsid w:val="00983C95"/>
  </w:style>
  <w:style w:type="numbering" w:customStyle="1" w:styleId="ImportedStyle24">
    <w:name w:val="Imported Style 24"/>
    <w:rsid w:val="00983C95"/>
  </w:style>
  <w:style w:type="numbering" w:customStyle="1" w:styleId="List217">
    <w:name w:val="List 217"/>
    <w:basedOn w:val="ImportedStyle3"/>
    <w:rsid w:val="00983C95"/>
  </w:style>
  <w:style w:type="numbering" w:customStyle="1" w:styleId="ImportedStyle34">
    <w:name w:val="Imported Style 34"/>
    <w:rsid w:val="00983C95"/>
  </w:style>
  <w:style w:type="numbering" w:customStyle="1" w:styleId="Aucuneliste115">
    <w:name w:val="Aucune liste115"/>
    <w:next w:val="NoList"/>
    <w:uiPriority w:val="99"/>
    <w:semiHidden/>
    <w:unhideWhenUsed/>
    <w:rsid w:val="00983C95"/>
  </w:style>
  <w:style w:type="numbering" w:customStyle="1" w:styleId="NoList15">
    <w:name w:val="No List15"/>
    <w:next w:val="NoList"/>
    <w:uiPriority w:val="99"/>
    <w:semiHidden/>
    <w:unhideWhenUsed/>
    <w:rsid w:val="00983C95"/>
  </w:style>
  <w:style w:type="table" w:customStyle="1" w:styleId="TableGrid16">
    <w:name w:val="Table Grid16"/>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983C95"/>
  </w:style>
  <w:style w:type="numbering" w:customStyle="1" w:styleId="Aucuneliste44">
    <w:name w:val="Aucune liste44"/>
    <w:next w:val="NoList"/>
    <w:uiPriority w:val="99"/>
    <w:semiHidden/>
    <w:unhideWhenUsed/>
    <w:rsid w:val="00983C95"/>
  </w:style>
  <w:style w:type="table" w:customStyle="1" w:styleId="Grilledutableau23">
    <w:name w:val="Grille du tableau23"/>
    <w:basedOn w:val="TableNormal"/>
    <w:next w:val="TableGrid00"/>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983C95"/>
  </w:style>
  <w:style w:type="numbering" w:customStyle="1" w:styleId="1ai14">
    <w:name w:val="1 / a / i14"/>
    <w:basedOn w:val="NoList"/>
    <w:next w:val="1ai"/>
    <w:rsid w:val="00983C95"/>
  </w:style>
  <w:style w:type="numbering" w:customStyle="1" w:styleId="11111114">
    <w:name w:val="1 / 1.1 / 1.1.114"/>
    <w:basedOn w:val="NoList"/>
    <w:next w:val="111111"/>
    <w:rsid w:val="00983C95"/>
  </w:style>
  <w:style w:type="numbering" w:customStyle="1" w:styleId="Aucuneliste54">
    <w:name w:val="Aucune liste54"/>
    <w:next w:val="NoList"/>
    <w:uiPriority w:val="99"/>
    <w:semiHidden/>
    <w:unhideWhenUsed/>
    <w:rsid w:val="00983C95"/>
  </w:style>
  <w:style w:type="table" w:customStyle="1" w:styleId="Grilledutableau33">
    <w:name w:val="Grille du tableau33"/>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983C95"/>
  </w:style>
  <w:style w:type="table" w:customStyle="1" w:styleId="Grilledutableau43">
    <w:name w:val="Grille du tableau43"/>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983C95"/>
  </w:style>
  <w:style w:type="numbering" w:customStyle="1" w:styleId="Aucuneliste84">
    <w:name w:val="Aucune liste84"/>
    <w:next w:val="NoList"/>
    <w:uiPriority w:val="99"/>
    <w:semiHidden/>
    <w:unhideWhenUsed/>
    <w:rsid w:val="00983C95"/>
  </w:style>
  <w:style w:type="table" w:customStyle="1" w:styleId="Grilledutableau53">
    <w:name w:val="Grille du tableau53"/>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983C95"/>
  </w:style>
  <w:style w:type="numbering" w:customStyle="1" w:styleId="NoList114">
    <w:name w:val="No List114"/>
    <w:next w:val="NoList"/>
    <w:uiPriority w:val="99"/>
    <w:semiHidden/>
    <w:unhideWhenUsed/>
    <w:rsid w:val="00983C95"/>
  </w:style>
  <w:style w:type="table" w:customStyle="1" w:styleId="TableGrid1130">
    <w:name w:val="Table Grid113"/>
    <w:basedOn w:val="TableNormal"/>
    <w:next w:val="TableGrid00"/>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983C95"/>
  </w:style>
  <w:style w:type="table" w:customStyle="1" w:styleId="Grilledutableau63">
    <w:name w:val="Grille du tableau63"/>
    <w:basedOn w:val="TableNormal"/>
    <w:next w:val="TableGrid00"/>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983C95"/>
  </w:style>
  <w:style w:type="numbering" w:customStyle="1" w:styleId="ImportedStyle414">
    <w:name w:val="Imported Style 414"/>
    <w:rsid w:val="00983C95"/>
  </w:style>
  <w:style w:type="numbering" w:customStyle="1" w:styleId="ImportedStyle514">
    <w:name w:val="Imported Style 514"/>
    <w:rsid w:val="00983C95"/>
  </w:style>
  <w:style w:type="numbering" w:customStyle="1" w:styleId="ImportedStyle114">
    <w:name w:val="Imported Style 114"/>
    <w:rsid w:val="00983C95"/>
  </w:style>
  <w:style w:type="table" w:customStyle="1" w:styleId="Grilledutableau73">
    <w:name w:val="Grille du tableau73"/>
    <w:basedOn w:val="TableNormal"/>
    <w:next w:val="TableGrid00"/>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983C95"/>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983C95"/>
    <w:rPr>
      <w:rFonts w:ascii="Ottawa" w:eastAsia="Times New Roman" w:hAnsi="Ottawa" w:cs="Times New Roman"/>
      <w:i/>
      <w:sz w:val="18"/>
      <w:szCs w:val="20"/>
      <w:lang w:bidi="en-US"/>
    </w:rPr>
  </w:style>
  <w:style w:type="character" w:customStyle="1" w:styleId="Normal1">
    <w:name w:val="Normal1"/>
    <w:basedOn w:val="DefaultParagraphFont"/>
    <w:rsid w:val="00983C95"/>
  </w:style>
  <w:style w:type="numbering" w:customStyle="1" w:styleId="11111162">
    <w:name w:val="1 / 1.1 / 1.1.162"/>
    <w:basedOn w:val="NoList"/>
    <w:next w:val="111111"/>
    <w:rsid w:val="00983C95"/>
  </w:style>
  <w:style w:type="character" w:customStyle="1" w:styleId="tabchar">
    <w:name w:val="tabchar"/>
    <w:basedOn w:val="DefaultParagraphFont"/>
    <w:rsid w:val="00983C95"/>
  </w:style>
  <w:style w:type="character" w:customStyle="1" w:styleId="para1Car1">
    <w:name w:val="para 1. Car1"/>
    <w:locked/>
    <w:rsid w:val="00983C95"/>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983C95"/>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983C95"/>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983C95"/>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983C95"/>
  </w:style>
  <w:style w:type="character" w:customStyle="1" w:styleId="eq0j8">
    <w:name w:val="eq0j8"/>
    <w:basedOn w:val="DefaultParagraphFont"/>
    <w:rsid w:val="00983C95"/>
  </w:style>
  <w:style w:type="character" w:customStyle="1" w:styleId="markedcontent">
    <w:name w:val="markedcontent"/>
    <w:basedOn w:val="DefaultParagraphFont"/>
    <w:rsid w:val="00983C95"/>
  </w:style>
  <w:style w:type="paragraph" w:customStyle="1" w:styleId="PleaseReviewReport">
    <w:name w:val="PleaseReview_Report"/>
    <w:rsid w:val="00983C95"/>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983C95"/>
  </w:style>
  <w:style w:type="numbering" w:customStyle="1" w:styleId="ArticleSection9">
    <w:name w:val="Article / Section9"/>
    <w:basedOn w:val="NoList"/>
    <w:next w:val="ArticleSection"/>
    <w:rsid w:val="00983C95"/>
  </w:style>
  <w:style w:type="numbering" w:customStyle="1" w:styleId="1ai9">
    <w:name w:val="1 / a / i9"/>
    <w:basedOn w:val="NoList"/>
    <w:next w:val="1ai"/>
    <w:rsid w:val="00983C95"/>
  </w:style>
  <w:style w:type="numbering" w:customStyle="1" w:styleId="11111110">
    <w:name w:val="1 / 1.1 / 1.1.110"/>
    <w:basedOn w:val="NoList"/>
    <w:next w:val="111111"/>
    <w:rsid w:val="00983C95"/>
  </w:style>
  <w:style w:type="numbering" w:customStyle="1" w:styleId="List08">
    <w:name w:val="List 08"/>
    <w:basedOn w:val="ImportedStyle1"/>
    <w:rsid w:val="00983C95"/>
  </w:style>
  <w:style w:type="numbering" w:customStyle="1" w:styleId="List18">
    <w:name w:val="List 18"/>
    <w:basedOn w:val="ImportedStyle2"/>
    <w:rsid w:val="00983C95"/>
  </w:style>
  <w:style w:type="numbering" w:customStyle="1" w:styleId="List218">
    <w:name w:val="List 218"/>
    <w:basedOn w:val="ImportedStyle3"/>
    <w:rsid w:val="00983C95"/>
  </w:style>
  <w:style w:type="paragraph" w:customStyle="1" w:styleId="pf0">
    <w:name w:val="pf0"/>
    <w:basedOn w:val="Normal"/>
    <w:rsid w:val="00983C9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983C95"/>
    <w:rPr>
      <w:rFonts w:ascii="Segoe UI" w:hAnsi="Segoe UI" w:cs="Segoe UI" w:hint="default"/>
      <w:sz w:val="18"/>
      <w:szCs w:val="18"/>
    </w:rPr>
  </w:style>
  <w:style w:type="numbering" w:customStyle="1" w:styleId="ImportedStyle425">
    <w:name w:val="Imported Style 425"/>
    <w:rsid w:val="00983C95"/>
  </w:style>
  <w:style w:type="numbering" w:customStyle="1" w:styleId="ArticleSection25">
    <w:name w:val="Article / Section25"/>
    <w:basedOn w:val="NoList"/>
    <w:next w:val="ArticleSection"/>
    <w:rsid w:val="00983C95"/>
  </w:style>
  <w:style w:type="numbering" w:customStyle="1" w:styleId="1ai25">
    <w:name w:val="1 / a / i25"/>
    <w:basedOn w:val="NoList"/>
    <w:next w:val="1ai"/>
    <w:rsid w:val="00983C95"/>
  </w:style>
  <w:style w:type="numbering" w:customStyle="1" w:styleId="11111125">
    <w:name w:val="1 / 1.1 / 1.1.125"/>
    <w:basedOn w:val="NoList"/>
    <w:next w:val="111111"/>
    <w:rsid w:val="00983C95"/>
  </w:style>
  <w:style w:type="numbering" w:customStyle="1" w:styleId="List015">
    <w:name w:val="List 015"/>
    <w:basedOn w:val="ImportedStyle1"/>
    <w:rsid w:val="00983C95"/>
  </w:style>
  <w:style w:type="numbering" w:customStyle="1" w:styleId="List115">
    <w:name w:val="List 115"/>
    <w:basedOn w:val="ImportedStyle2"/>
    <w:rsid w:val="00983C95"/>
  </w:style>
  <w:style w:type="numbering" w:customStyle="1" w:styleId="List2115">
    <w:name w:val="List 2115"/>
    <w:basedOn w:val="ImportedStyle3"/>
    <w:rsid w:val="00983C95"/>
  </w:style>
  <w:style w:type="table" w:customStyle="1" w:styleId="TableGrid1220">
    <w:name w:val="Table Grid122"/>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83C95"/>
    <w:rPr>
      <w:rFonts w:ascii="Segoe UI" w:hAnsi="Segoe UI" w:cs="Segoe UI" w:hint="default"/>
      <w:i/>
      <w:iCs/>
      <w:sz w:val="18"/>
      <w:szCs w:val="18"/>
    </w:rPr>
  </w:style>
  <w:style w:type="paragraph" w:customStyle="1" w:styleId="Style3">
    <w:name w:val="Style3"/>
    <w:basedOn w:val="Para3i"/>
    <w:qFormat/>
    <w:rsid w:val="00983C95"/>
    <w:pPr>
      <w:spacing w:after="120"/>
      <w:ind w:left="1276" w:hanging="425"/>
    </w:pPr>
    <w:rPr>
      <w:rFonts w:ascii="Arial" w:hAnsi="Arial"/>
      <w:sz w:val="18"/>
    </w:rPr>
  </w:style>
  <w:style w:type="character" w:customStyle="1" w:styleId="secondary-date">
    <w:name w:val="secondary-date"/>
    <w:basedOn w:val="DefaultParagraphFont"/>
    <w:rsid w:val="00983C95"/>
  </w:style>
  <w:style w:type="character" w:customStyle="1" w:styleId="12">
    <w:name w:val="标题1"/>
    <w:basedOn w:val="DefaultParagraphFont"/>
    <w:rsid w:val="00983C95"/>
  </w:style>
  <w:style w:type="numbering" w:customStyle="1" w:styleId="11111152">
    <w:name w:val="1 / 1.1 / 1.1.152"/>
    <w:basedOn w:val="NoList"/>
    <w:next w:val="111111"/>
    <w:rsid w:val="00983C95"/>
  </w:style>
  <w:style w:type="numbering" w:customStyle="1" w:styleId="ImportedStyle4232">
    <w:name w:val="Imported Style 4232"/>
    <w:rsid w:val="00983C95"/>
  </w:style>
  <w:style w:type="numbering" w:customStyle="1" w:styleId="ImportedStyle5232">
    <w:name w:val="Imported Style 5232"/>
    <w:rsid w:val="00983C95"/>
  </w:style>
  <w:style w:type="numbering" w:customStyle="1" w:styleId="ArticleSection232">
    <w:name w:val="Article / Section232"/>
    <w:basedOn w:val="NoList"/>
    <w:next w:val="ArticleSection"/>
    <w:rsid w:val="00983C95"/>
  </w:style>
  <w:style w:type="numbering" w:customStyle="1" w:styleId="ImportedStyle462">
    <w:name w:val="Imported Style 462"/>
    <w:rsid w:val="00983C95"/>
  </w:style>
  <w:style w:type="numbering" w:customStyle="1" w:styleId="ImportedStyle562">
    <w:name w:val="Imported Style 562"/>
    <w:rsid w:val="00983C95"/>
  </w:style>
  <w:style w:type="numbering" w:customStyle="1" w:styleId="ImportedStyle162">
    <w:name w:val="Imported Style 162"/>
    <w:rsid w:val="00983C95"/>
  </w:style>
  <w:style w:type="numbering" w:customStyle="1" w:styleId="ArticleSection62">
    <w:name w:val="Article / Section62"/>
    <w:basedOn w:val="NoList"/>
    <w:next w:val="ArticleSection"/>
    <w:rsid w:val="00983C95"/>
  </w:style>
  <w:style w:type="numbering" w:customStyle="1" w:styleId="1ai62">
    <w:name w:val="1 / a / i62"/>
    <w:basedOn w:val="NoList"/>
    <w:next w:val="1ai"/>
    <w:rsid w:val="00983C95"/>
  </w:style>
  <w:style w:type="numbering" w:customStyle="1" w:styleId="11111163">
    <w:name w:val="1 / 1.1 / 1.1.163"/>
    <w:basedOn w:val="NoList"/>
    <w:next w:val="111111"/>
    <w:rsid w:val="00983C95"/>
  </w:style>
  <w:style w:type="numbering" w:customStyle="1" w:styleId="ImportierterStil12">
    <w:name w:val="Importierter Stil: 12"/>
    <w:rsid w:val="00983C95"/>
  </w:style>
  <w:style w:type="numbering" w:customStyle="1" w:styleId="1ai511">
    <w:name w:val="1 / a / i511"/>
    <w:basedOn w:val="NoList"/>
    <w:next w:val="1ai"/>
    <w:rsid w:val="00983C95"/>
  </w:style>
  <w:style w:type="numbering" w:customStyle="1" w:styleId="111111511">
    <w:name w:val="1 / 1.1 / 1.1.1511"/>
    <w:basedOn w:val="NoList"/>
    <w:next w:val="111111"/>
    <w:rsid w:val="00983C95"/>
  </w:style>
  <w:style w:type="numbering" w:customStyle="1" w:styleId="List0411">
    <w:name w:val="List 0411"/>
    <w:basedOn w:val="ImportedStyle1"/>
    <w:rsid w:val="00983C95"/>
  </w:style>
  <w:style w:type="numbering" w:customStyle="1" w:styleId="List1411">
    <w:name w:val="List 1411"/>
    <w:basedOn w:val="ImportedStyle2"/>
    <w:rsid w:val="00983C95"/>
  </w:style>
  <w:style w:type="numbering" w:customStyle="1" w:styleId="List21411">
    <w:name w:val="List 21411"/>
    <w:basedOn w:val="ImportedStyle3"/>
    <w:rsid w:val="00983C95"/>
  </w:style>
  <w:style w:type="numbering" w:customStyle="1" w:styleId="ImportedStyle42311">
    <w:name w:val="Imported Style 42311"/>
    <w:rsid w:val="00983C95"/>
  </w:style>
  <w:style w:type="numbering" w:customStyle="1" w:styleId="List01311">
    <w:name w:val="List 01311"/>
    <w:basedOn w:val="ImportedStyle1"/>
    <w:rsid w:val="00983C95"/>
  </w:style>
  <w:style w:type="numbering" w:customStyle="1" w:styleId="ImportedStyle1611">
    <w:name w:val="Imported Style 1611"/>
    <w:rsid w:val="00983C95"/>
  </w:style>
  <w:style w:type="numbering" w:customStyle="1" w:styleId="List0511">
    <w:name w:val="List 0511"/>
    <w:basedOn w:val="ImportedStyle1"/>
    <w:rsid w:val="00983C95"/>
  </w:style>
  <w:style w:type="numbering" w:customStyle="1" w:styleId="List21511">
    <w:name w:val="List 21511"/>
    <w:basedOn w:val="ImportedStyle3"/>
    <w:rsid w:val="00983C95"/>
  </w:style>
  <w:style w:type="numbering" w:customStyle="1" w:styleId="ImportierterStil111">
    <w:name w:val="Importierter Stil: 111"/>
    <w:rsid w:val="00983C95"/>
  </w:style>
  <w:style w:type="numbering" w:customStyle="1" w:styleId="111111711">
    <w:name w:val="1 / 1.1 / 1.1.1711"/>
    <w:basedOn w:val="NoList"/>
    <w:next w:val="111111"/>
    <w:rsid w:val="00983C95"/>
  </w:style>
  <w:style w:type="numbering" w:customStyle="1" w:styleId="ImportedStyle481">
    <w:name w:val="Imported Style 481"/>
    <w:rsid w:val="00983C95"/>
  </w:style>
  <w:style w:type="numbering" w:customStyle="1" w:styleId="ImportedStyle581">
    <w:name w:val="Imported Style 581"/>
    <w:rsid w:val="00983C95"/>
  </w:style>
  <w:style w:type="numbering" w:customStyle="1" w:styleId="ImportedStyle181">
    <w:name w:val="Imported Style 181"/>
    <w:rsid w:val="00983C95"/>
  </w:style>
  <w:style w:type="numbering" w:customStyle="1" w:styleId="ArticleSection81">
    <w:name w:val="Article / Section81"/>
    <w:basedOn w:val="NoList"/>
    <w:next w:val="ArticleSection"/>
    <w:rsid w:val="00983C95"/>
  </w:style>
  <w:style w:type="numbering" w:customStyle="1" w:styleId="1ai81">
    <w:name w:val="1 / a / i81"/>
    <w:basedOn w:val="NoList"/>
    <w:next w:val="1ai"/>
    <w:rsid w:val="00983C95"/>
  </w:style>
  <w:style w:type="numbering" w:customStyle="1" w:styleId="List071">
    <w:name w:val="List 071"/>
    <w:basedOn w:val="ImportedStyle1"/>
    <w:rsid w:val="00983C95"/>
  </w:style>
  <w:style w:type="numbering" w:customStyle="1" w:styleId="List171">
    <w:name w:val="List 171"/>
    <w:basedOn w:val="ImportedStyle2"/>
    <w:rsid w:val="00983C95"/>
  </w:style>
  <w:style w:type="numbering" w:customStyle="1" w:styleId="List2171">
    <w:name w:val="List 2171"/>
    <w:basedOn w:val="ImportedStyle3"/>
    <w:rsid w:val="00983C95"/>
  </w:style>
  <w:style w:type="numbering" w:customStyle="1" w:styleId="111111621">
    <w:name w:val="1 / 1.1 / 1.1.1621"/>
    <w:basedOn w:val="NoList"/>
    <w:next w:val="111111"/>
    <w:rsid w:val="00983C95"/>
  </w:style>
  <w:style w:type="table" w:customStyle="1" w:styleId="TableGrid18">
    <w:name w:val="Table Grid18"/>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983C95"/>
  </w:style>
  <w:style w:type="numbering" w:customStyle="1" w:styleId="ArticleSection26">
    <w:name w:val="Article / Section26"/>
    <w:basedOn w:val="NoList"/>
    <w:next w:val="ArticleSection"/>
    <w:rsid w:val="00983C95"/>
  </w:style>
  <w:style w:type="numbering" w:customStyle="1" w:styleId="1ai26">
    <w:name w:val="1 / a / i26"/>
    <w:basedOn w:val="NoList"/>
    <w:next w:val="1ai"/>
    <w:rsid w:val="00983C95"/>
  </w:style>
  <w:style w:type="numbering" w:customStyle="1" w:styleId="11111126">
    <w:name w:val="1 / 1.1 / 1.1.126"/>
    <w:basedOn w:val="NoList"/>
    <w:next w:val="111111"/>
    <w:rsid w:val="00983C95"/>
  </w:style>
  <w:style w:type="numbering" w:customStyle="1" w:styleId="List016">
    <w:name w:val="List 016"/>
    <w:basedOn w:val="ImportedStyle1"/>
    <w:rsid w:val="00983C95"/>
  </w:style>
  <w:style w:type="numbering" w:customStyle="1" w:styleId="List116">
    <w:name w:val="List 116"/>
    <w:basedOn w:val="ImportedStyle2"/>
    <w:rsid w:val="00983C95"/>
  </w:style>
  <w:style w:type="numbering" w:customStyle="1" w:styleId="List2116">
    <w:name w:val="List 2116"/>
    <w:basedOn w:val="ImportedStyle3"/>
    <w:rsid w:val="00983C95"/>
  </w:style>
  <w:style w:type="table" w:customStyle="1" w:styleId="TableGrid123">
    <w:name w:val="Table Grid123"/>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983C95"/>
  </w:style>
  <w:style w:type="numbering" w:customStyle="1" w:styleId="ImportedStyle4233">
    <w:name w:val="Imported Style 4233"/>
    <w:rsid w:val="00983C95"/>
  </w:style>
  <w:style w:type="numbering" w:customStyle="1" w:styleId="ImportedStyle5233">
    <w:name w:val="Imported Style 5233"/>
    <w:rsid w:val="00983C95"/>
  </w:style>
  <w:style w:type="numbering" w:customStyle="1" w:styleId="ArticleSection233">
    <w:name w:val="Article / Section233"/>
    <w:basedOn w:val="NoList"/>
    <w:next w:val="ArticleSection"/>
    <w:rsid w:val="00983C95"/>
  </w:style>
  <w:style w:type="numbering" w:customStyle="1" w:styleId="ImportedStyle463">
    <w:name w:val="Imported Style 463"/>
    <w:rsid w:val="00983C95"/>
  </w:style>
  <w:style w:type="numbering" w:customStyle="1" w:styleId="ImportedStyle563">
    <w:name w:val="Imported Style 563"/>
    <w:rsid w:val="00983C95"/>
  </w:style>
  <w:style w:type="numbering" w:customStyle="1" w:styleId="ImportedStyle163">
    <w:name w:val="Imported Style 163"/>
    <w:rsid w:val="00983C95"/>
  </w:style>
  <w:style w:type="numbering" w:customStyle="1" w:styleId="ArticleSection63">
    <w:name w:val="Article / Section63"/>
    <w:basedOn w:val="NoList"/>
    <w:next w:val="ArticleSection"/>
    <w:rsid w:val="00983C95"/>
  </w:style>
  <w:style w:type="numbering" w:customStyle="1" w:styleId="1ai63">
    <w:name w:val="1 / a / i63"/>
    <w:basedOn w:val="NoList"/>
    <w:next w:val="1ai"/>
    <w:rsid w:val="00983C95"/>
  </w:style>
  <w:style w:type="numbering" w:customStyle="1" w:styleId="11111164">
    <w:name w:val="1 / 1.1 / 1.1.164"/>
    <w:basedOn w:val="NoList"/>
    <w:next w:val="111111"/>
    <w:rsid w:val="00983C95"/>
  </w:style>
  <w:style w:type="numbering" w:customStyle="1" w:styleId="ImportierterStil13">
    <w:name w:val="Importierter Stil: 13"/>
    <w:rsid w:val="00983C95"/>
  </w:style>
  <w:style w:type="numbering" w:customStyle="1" w:styleId="1ai512">
    <w:name w:val="1 / a / i512"/>
    <w:basedOn w:val="NoList"/>
    <w:next w:val="1ai"/>
    <w:rsid w:val="00983C95"/>
  </w:style>
  <w:style w:type="numbering" w:customStyle="1" w:styleId="111111512">
    <w:name w:val="1 / 1.1 / 1.1.1512"/>
    <w:basedOn w:val="NoList"/>
    <w:next w:val="111111"/>
    <w:rsid w:val="00983C95"/>
  </w:style>
  <w:style w:type="numbering" w:customStyle="1" w:styleId="List0412">
    <w:name w:val="List 0412"/>
    <w:basedOn w:val="ImportedStyle1"/>
    <w:rsid w:val="00983C95"/>
  </w:style>
  <w:style w:type="numbering" w:customStyle="1" w:styleId="List1412">
    <w:name w:val="List 1412"/>
    <w:basedOn w:val="ImportedStyle2"/>
    <w:rsid w:val="00983C95"/>
  </w:style>
  <w:style w:type="numbering" w:customStyle="1" w:styleId="List21412">
    <w:name w:val="List 21412"/>
    <w:basedOn w:val="ImportedStyle3"/>
    <w:rsid w:val="00983C95"/>
  </w:style>
  <w:style w:type="numbering" w:customStyle="1" w:styleId="ImportedStyle42312">
    <w:name w:val="Imported Style 42312"/>
    <w:rsid w:val="00983C95"/>
  </w:style>
  <w:style w:type="numbering" w:customStyle="1" w:styleId="List01312">
    <w:name w:val="List 01312"/>
    <w:basedOn w:val="ImportedStyle1"/>
    <w:rsid w:val="00983C95"/>
  </w:style>
  <w:style w:type="numbering" w:customStyle="1" w:styleId="ImportedStyle1612">
    <w:name w:val="Imported Style 1612"/>
    <w:rsid w:val="00983C95"/>
  </w:style>
  <w:style w:type="numbering" w:customStyle="1" w:styleId="List0512">
    <w:name w:val="List 0512"/>
    <w:basedOn w:val="ImportedStyle1"/>
    <w:rsid w:val="00983C95"/>
  </w:style>
  <w:style w:type="numbering" w:customStyle="1" w:styleId="List21512">
    <w:name w:val="List 21512"/>
    <w:basedOn w:val="ImportedStyle3"/>
    <w:rsid w:val="00983C95"/>
  </w:style>
  <w:style w:type="numbering" w:customStyle="1" w:styleId="ImportierterStil112">
    <w:name w:val="Importierter Stil: 112"/>
    <w:rsid w:val="00983C95"/>
  </w:style>
  <w:style w:type="numbering" w:customStyle="1" w:styleId="111111712">
    <w:name w:val="1 / 1.1 / 1.1.1712"/>
    <w:basedOn w:val="NoList"/>
    <w:next w:val="111111"/>
    <w:rsid w:val="00983C95"/>
  </w:style>
  <w:style w:type="numbering" w:customStyle="1" w:styleId="ImportedStyle482">
    <w:name w:val="Imported Style 482"/>
    <w:rsid w:val="00983C95"/>
  </w:style>
  <w:style w:type="numbering" w:customStyle="1" w:styleId="ImportedStyle582">
    <w:name w:val="Imported Style 582"/>
    <w:rsid w:val="00983C95"/>
  </w:style>
  <w:style w:type="numbering" w:customStyle="1" w:styleId="ImportedStyle182">
    <w:name w:val="Imported Style 182"/>
    <w:rsid w:val="00983C95"/>
  </w:style>
  <w:style w:type="numbering" w:customStyle="1" w:styleId="ArticleSection82">
    <w:name w:val="Article / Section82"/>
    <w:basedOn w:val="NoList"/>
    <w:next w:val="ArticleSection"/>
    <w:rsid w:val="00983C95"/>
  </w:style>
  <w:style w:type="numbering" w:customStyle="1" w:styleId="1ai82">
    <w:name w:val="1 / a / i82"/>
    <w:basedOn w:val="NoList"/>
    <w:next w:val="1ai"/>
    <w:rsid w:val="00983C95"/>
  </w:style>
  <w:style w:type="numbering" w:customStyle="1" w:styleId="List072">
    <w:name w:val="List 072"/>
    <w:basedOn w:val="ImportedStyle1"/>
    <w:rsid w:val="00983C95"/>
  </w:style>
  <w:style w:type="numbering" w:customStyle="1" w:styleId="List172">
    <w:name w:val="List 172"/>
    <w:basedOn w:val="ImportedStyle2"/>
    <w:rsid w:val="00983C95"/>
  </w:style>
  <w:style w:type="numbering" w:customStyle="1" w:styleId="List2172">
    <w:name w:val="List 2172"/>
    <w:basedOn w:val="ImportedStyle3"/>
    <w:rsid w:val="00983C95"/>
  </w:style>
  <w:style w:type="numbering" w:customStyle="1" w:styleId="111111622">
    <w:name w:val="1 / 1.1 / 1.1.1622"/>
    <w:basedOn w:val="NoList"/>
    <w:next w:val="111111"/>
    <w:rsid w:val="00983C95"/>
  </w:style>
  <w:style w:type="paragraph" w:styleId="Index1">
    <w:name w:val="index 1"/>
    <w:basedOn w:val="Normal"/>
    <w:next w:val="Normal"/>
    <w:autoRedefine/>
    <w:uiPriority w:val="99"/>
    <w:semiHidden/>
    <w:unhideWhenUsed/>
    <w:rsid w:val="00983C95"/>
    <w:pPr>
      <w:spacing w:after="0" w:line="240" w:lineRule="auto"/>
      <w:ind w:left="220" w:hanging="220"/>
    </w:pPr>
  </w:style>
  <w:style w:type="paragraph" w:styleId="Index2">
    <w:name w:val="index 2"/>
    <w:basedOn w:val="Normal"/>
    <w:next w:val="Normal"/>
    <w:autoRedefine/>
    <w:uiPriority w:val="99"/>
    <w:semiHidden/>
    <w:unhideWhenUsed/>
    <w:rsid w:val="00983C95"/>
    <w:pPr>
      <w:spacing w:after="0" w:line="240" w:lineRule="auto"/>
      <w:ind w:left="440" w:hanging="220"/>
    </w:pPr>
  </w:style>
  <w:style w:type="paragraph" w:styleId="Index3">
    <w:name w:val="index 3"/>
    <w:basedOn w:val="Normal"/>
    <w:next w:val="Normal"/>
    <w:autoRedefine/>
    <w:uiPriority w:val="99"/>
    <w:semiHidden/>
    <w:unhideWhenUsed/>
    <w:rsid w:val="00983C95"/>
    <w:pPr>
      <w:spacing w:after="0" w:line="240" w:lineRule="auto"/>
      <w:ind w:left="660" w:hanging="220"/>
    </w:pPr>
  </w:style>
  <w:style w:type="paragraph" w:styleId="Index4">
    <w:name w:val="index 4"/>
    <w:basedOn w:val="Normal"/>
    <w:next w:val="Normal"/>
    <w:autoRedefine/>
    <w:uiPriority w:val="99"/>
    <w:semiHidden/>
    <w:unhideWhenUsed/>
    <w:rsid w:val="00983C95"/>
    <w:pPr>
      <w:spacing w:after="0" w:line="240" w:lineRule="auto"/>
      <w:ind w:left="880" w:hanging="220"/>
    </w:pPr>
  </w:style>
  <w:style w:type="paragraph" w:styleId="Index5">
    <w:name w:val="index 5"/>
    <w:basedOn w:val="Normal"/>
    <w:next w:val="Normal"/>
    <w:autoRedefine/>
    <w:uiPriority w:val="99"/>
    <w:semiHidden/>
    <w:unhideWhenUsed/>
    <w:rsid w:val="00983C95"/>
    <w:pPr>
      <w:spacing w:after="0" w:line="240" w:lineRule="auto"/>
      <w:ind w:left="1100" w:hanging="220"/>
    </w:pPr>
  </w:style>
  <w:style w:type="paragraph" w:styleId="Index6">
    <w:name w:val="index 6"/>
    <w:basedOn w:val="Normal"/>
    <w:next w:val="Normal"/>
    <w:autoRedefine/>
    <w:uiPriority w:val="99"/>
    <w:semiHidden/>
    <w:unhideWhenUsed/>
    <w:rsid w:val="00983C95"/>
    <w:pPr>
      <w:spacing w:after="0" w:line="240" w:lineRule="auto"/>
      <w:ind w:left="1320" w:hanging="220"/>
    </w:pPr>
  </w:style>
  <w:style w:type="paragraph" w:styleId="Index7">
    <w:name w:val="index 7"/>
    <w:basedOn w:val="Normal"/>
    <w:next w:val="Normal"/>
    <w:autoRedefine/>
    <w:uiPriority w:val="99"/>
    <w:semiHidden/>
    <w:unhideWhenUsed/>
    <w:rsid w:val="00983C95"/>
    <w:pPr>
      <w:spacing w:after="0" w:line="240" w:lineRule="auto"/>
      <w:ind w:left="1540" w:hanging="220"/>
    </w:pPr>
  </w:style>
  <w:style w:type="paragraph" w:styleId="Index8">
    <w:name w:val="index 8"/>
    <w:basedOn w:val="Normal"/>
    <w:next w:val="Normal"/>
    <w:autoRedefine/>
    <w:uiPriority w:val="99"/>
    <w:semiHidden/>
    <w:unhideWhenUsed/>
    <w:rsid w:val="00983C95"/>
    <w:pPr>
      <w:spacing w:after="0" w:line="240" w:lineRule="auto"/>
      <w:ind w:left="1760" w:hanging="220"/>
    </w:pPr>
  </w:style>
  <w:style w:type="paragraph" w:styleId="Index9">
    <w:name w:val="index 9"/>
    <w:basedOn w:val="Normal"/>
    <w:next w:val="Normal"/>
    <w:autoRedefine/>
    <w:uiPriority w:val="99"/>
    <w:semiHidden/>
    <w:unhideWhenUsed/>
    <w:rsid w:val="00983C95"/>
    <w:pPr>
      <w:spacing w:after="0" w:line="240" w:lineRule="auto"/>
      <w:ind w:left="1980" w:hanging="220"/>
    </w:pPr>
  </w:style>
  <w:style w:type="paragraph" w:styleId="ListNumber">
    <w:name w:val="List Number"/>
    <w:basedOn w:val="Normal"/>
    <w:uiPriority w:val="99"/>
    <w:semiHidden/>
    <w:unhideWhenUsed/>
    <w:rsid w:val="00983C95"/>
    <w:pPr>
      <w:numPr>
        <w:numId w:val="61"/>
      </w:numPr>
      <w:ind w:left="0" w:firstLine="0"/>
      <w:contextualSpacing/>
    </w:pPr>
  </w:style>
  <w:style w:type="paragraph" w:styleId="TableofFigures">
    <w:name w:val="table of figures"/>
    <w:basedOn w:val="Normal"/>
    <w:next w:val="Normal"/>
    <w:uiPriority w:val="99"/>
    <w:semiHidden/>
    <w:unhideWhenUsed/>
    <w:rsid w:val="00983C95"/>
    <w:pPr>
      <w:spacing w:after="0"/>
    </w:pPr>
  </w:style>
  <w:style w:type="paragraph" w:styleId="TableofAuthorities">
    <w:name w:val="table of authorities"/>
    <w:basedOn w:val="Normal"/>
    <w:next w:val="Normal"/>
    <w:uiPriority w:val="99"/>
    <w:semiHidden/>
    <w:unhideWhenUsed/>
    <w:rsid w:val="00983C95"/>
    <w:pPr>
      <w:spacing w:after="0"/>
      <w:ind w:left="220" w:hanging="220"/>
    </w:pPr>
  </w:style>
  <w:style w:type="paragraph" w:styleId="MacroText">
    <w:name w:val="macro"/>
    <w:link w:val="MacroTextChar"/>
    <w:uiPriority w:val="99"/>
    <w:semiHidden/>
    <w:unhideWhenUsed/>
    <w:rsid w:val="00983C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983C95"/>
    <w:rPr>
      <w:rFonts w:ascii="Consolas" w:hAnsi="Consolas"/>
      <w:sz w:val="20"/>
      <w:szCs w:val="20"/>
      <w:lang w:val="en-CA"/>
    </w:rPr>
  </w:style>
  <w:style w:type="paragraph" w:styleId="IndexHeading">
    <w:name w:val="index heading"/>
    <w:basedOn w:val="Normal"/>
    <w:next w:val="Index1"/>
    <w:uiPriority w:val="99"/>
    <w:semiHidden/>
    <w:unhideWhenUsed/>
    <w:rsid w:val="00983C95"/>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983C95"/>
    <w:pPr>
      <w:spacing w:before="120"/>
    </w:pPr>
    <w:rPr>
      <w:rFonts w:asciiTheme="majorHAnsi" w:eastAsiaTheme="majorEastAsia" w:hAnsiTheme="majorHAnsi" w:cstheme="majorBidi"/>
      <w:b/>
      <w:bCs/>
      <w:sz w:val="24"/>
      <w:szCs w:val="24"/>
    </w:rPr>
  </w:style>
  <w:style w:type="paragraph" w:customStyle="1" w:styleId="WOAHArticleNumber">
    <w:name w:val="WOAH_Article Number"/>
    <w:basedOn w:val="Heading5"/>
    <w:qFormat/>
    <w:rsid w:val="00983C95"/>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983C95"/>
    <w:rPr>
      <w:rFonts w:ascii="Söhne Halbfett" w:hAnsi="Söhne Halbfett"/>
      <w:b/>
    </w:rPr>
  </w:style>
  <w:style w:type="paragraph" w:customStyle="1" w:styleId="WOAHChapterNumber">
    <w:name w:val="WOAH_Chapter Number"/>
    <w:basedOn w:val="Heading3"/>
    <w:qFormat/>
    <w:rsid w:val="00983C95"/>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983C95"/>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Heading1">
    <w:name w:val="Annex Heading1"/>
    <w:basedOn w:val="Normal"/>
    <w:next w:val="Normal"/>
    <w:uiPriority w:val="9"/>
    <w:qFormat/>
    <w:locked/>
    <w:rsid w:val="00983C95"/>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983C95"/>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983C95"/>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983C95"/>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983C95"/>
    <w:rPr>
      <w:i/>
      <w:iCs/>
      <w:color w:val="E77E67"/>
    </w:rPr>
  </w:style>
  <w:style w:type="paragraph" w:customStyle="1" w:styleId="WOAHAnnexReportTitle">
    <w:name w:val="WOAH Annex Report Title"/>
    <w:basedOn w:val="Normal"/>
    <w:next w:val="WOAHAnnexReportSubtitle"/>
    <w:qFormat/>
    <w:locked/>
    <w:rsid w:val="00983C95"/>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983C95"/>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983C95"/>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983C95"/>
    <w:rPr>
      <w:rFonts w:ascii="Arial" w:eastAsia="Malgun Gothic" w:hAnsi="Arial" w:cs="Arial"/>
      <w:b/>
      <w:bCs/>
      <w:sz w:val="18"/>
      <w:szCs w:val="20"/>
      <w:lang w:val="en-GB" w:eastAsia="en-GB"/>
    </w:rPr>
  </w:style>
  <w:style w:type="paragraph" w:customStyle="1" w:styleId="WOAHNH3">
    <w:name w:val="WOAH NH3"/>
    <w:basedOn w:val="Normal"/>
    <w:next w:val="WOAHL3Para"/>
    <w:qFormat/>
    <w:rsid w:val="00983C95"/>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983C95"/>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983C95"/>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983C95"/>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983C95"/>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983C95"/>
    <w:rPr>
      <w:rFonts w:eastAsia="Malgun Gothic" w:cs="Calibri"/>
      <w:sz w:val="16"/>
      <w:szCs w:val="16"/>
      <w:lang w:val="en-GB" w:eastAsia="en-GB"/>
    </w:rPr>
  </w:style>
  <w:style w:type="paragraph" w:customStyle="1" w:styleId="WOAHAppendixNoRodd">
    <w:name w:val="WOAH AppendixNo R (odd)"/>
    <w:basedOn w:val="Normal"/>
    <w:qFormat/>
    <w:locked/>
    <w:rsid w:val="00983C95"/>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983C95"/>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983C95"/>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983C95"/>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983C95"/>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983C95"/>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983C95"/>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983C95"/>
    <w:pPr>
      <w:jc w:val="both"/>
    </w:pPr>
    <w:rPr>
      <w:rFonts w:ascii="Arial" w:hAnsi="Arial"/>
      <w:sz w:val="20"/>
      <w:lang w:val="en-GB"/>
    </w:rPr>
  </w:style>
  <w:style w:type="paragraph" w:customStyle="1" w:styleId="WOAHL2Paraunderlined">
    <w:name w:val="WOAH L2 Para underlined"/>
    <w:basedOn w:val="WOAHL2Para"/>
    <w:next w:val="WOAHL2Para"/>
    <w:qFormat/>
    <w:rsid w:val="00983C95"/>
    <w:rPr>
      <w:u w:val="single"/>
    </w:rPr>
  </w:style>
  <w:style w:type="paragraph" w:customStyle="1" w:styleId="WOAHL3Paraunderlined">
    <w:name w:val="WOAH L3 Para underlined"/>
    <w:basedOn w:val="WOAHL3Para"/>
    <w:next w:val="WOAHL3Para"/>
    <w:qFormat/>
    <w:rsid w:val="00983C95"/>
    <w:rPr>
      <w:u w:val="single"/>
    </w:rPr>
  </w:style>
  <w:style w:type="table" w:customStyle="1" w:styleId="GridTable1Light12">
    <w:name w:val="Grid Table 1 Light12"/>
    <w:basedOn w:val="TableNormal"/>
    <w:next w:val="GridTable1Light"/>
    <w:uiPriority w:val="46"/>
    <w:locked/>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983C95"/>
    <w:tblPr/>
  </w:style>
  <w:style w:type="table" w:customStyle="1" w:styleId="ListTable1Light1">
    <w:name w:val="List Table 1 Light1"/>
    <w:basedOn w:val="TableNormal"/>
    <w:next w:val="ListTable1Light"/>
    <w:uiPriority w:val="46"/>
    <w:locked/>
    <w:rsid w:val="00983C95"/>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983C95"/>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983C95"/>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983C95"/>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983C95"/>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983C95"/>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983C95"/>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983C95"/>
    <w:rPr>
      <w:color w:val="2B579A"/>
      <w:shd w:val="clear" w:color="auto" w:fill="E1DFDD"/>
    </w:rPr>
  </w:style>
  <w:style w:type="paragraph" w:customStyle="1" w:styleId="WOAHLevel2List">
    <w:name w:val="WOAH Level 2 List"/>
    <w:basedOn w:val="WOAHL2Para"/>
    <w:link w:val="WOAHLevel2ListChar"/>
    <w:qFormat/>
    <w:rsid w:val="00983C95"/>
    <w:pPr>
      <w:numPr>
        <w:numId w:val="66"/>
      </w:numPr>
      <w:spacing w:after="120"/>
      <w:ind w:left="992" w:hanging="567"/>
    </w:pPr>
  </w:style>
  <w:style w:type="character" w:customStyle="1" w:styleId="WOAHLevel2ListChar">
    <w:name w:val="WOAH Level 2 List Char"/>
    <w:basedOn w:val="DefaultParagraphFont"/>
    <w:link w:val="WOAHLevel2List"/>
    <w:rsid w:val="00983C95"/>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983C95"/>
    <w:pPr>
      <w:ind w:left="1276" w:hanging="284"/>
    </w:pPr>
  </w:style>
  <w:style w:type="character" w:customStyle="1" w:styleId="WOAHLevel3ListChar">
    <w:name w:val="WOAH Level 3 List Char"/>
    <w:basedOn w:val="WOAHLevel2ListChar"/>
    <w:link w:val="WOAHLevel3List"/>
    <w:rsid w:val="00983C95"/>
    <w:rPr>
      <w:rFonts w:ascii="Arial" w:eastAsia="Malgun Gothic" w:hAnsi="Arial" w:cs="Times New Roman"/>
      <w:sz w:val="18"/>
      <w:szCs w:val="20"/>
      <w:lang w:val="en-GB" w:eastAsia="en-GB"/>
    </w:rPr>
  </w:style>
  <w:style w:type="paragraph" w:customStyle="1" w:styleId="ReportTitle">
    <w:name w:val="Report_Title"/>
    <w:basedOn w:val="Normal"/>
    <w:qFormat/>
    <w:locked/>
    <w:rsid w:val="00983C95"/>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983C95"/>
    <w:rPr>
      <w:rFonts w:ascii="Arial" w:hAnsi="Arial"/>
      <w:i/>
      <w:sz w:val="18"/>
    </w:rPr>
  </w:style>
  <w:style w:type="table" w:customStyle="1" w:styleId="LightShading-Accent11">
    <w:name w:val="Light Shading - Accent 11"/>
    <w:basedOn w:val="TableNormal"/>
    <w:next w:val="LightShading-Accent1"/>
    <w:uiPriority w:val="60"/>
    <w:locked/>
    <w:rsid w:val="00983C95"/>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983C95"/>
    <w:pPr>
      <w:spacing w:after="100"/>
      <w:ind w:left="880"/>
    </w:pPr>
    <w:rPr>
      <w:rFonts w:eastAsia="Yu Mincho"/>
      <w:lang w:eastAsia="en-CA"/>
    </w:rPr>
  </w:style>
  <w:style w:type="table" w:customStyle="1" w:styleId="TableGrid1100">
    <w:name w:val="Table Grid110"/>
    <w:basedOn w:val="TableNormal"/>
    <w:next w:val="TableGrid"/>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983C95"/>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983C95"/>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983C95"/>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983C95"/>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983C95"/>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983C95"/>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983C95"/>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983C95"/>
    <w:pPr>
      <w:spacing w:after="0" w:line="240" w:lineRule="auto"/>
    </w:pPr>
  </w:style>
  <w:style w:type="paragraph" w:customStyle="1" w:styleId="En-tte11">
    <w:name w:val="En-tête11"/>
    <w:basedOn w:val="Normal"/>
    <w:next w:val="Header"/>
    <w:uiPriority w:val="99"/>
    <w:unhideWhenUsed/>
    <w:rsid w:val="00983C95"/>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983C95"/>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983C95"/>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983C95"/>
    <w:rPr>
      <w:color w:val="954F72"/>
      <w:u w:val="single"/>
    </w:rPr>
  </w:style>
  <w:style w:type="paragraph" w:customStyle="1" w:styleId="TOC11">
    <w:name w:val="TOC 11"/>
    <w:basedOn w:val="Normal"/>
    <w:next w:val="TOC1"/>
    <w:uiPriority w:val="39"/>
    <w:qFormat/>
    <w:rsid w:val="00983C95"/>
    <w:pPr>
      <w:spacing w:before="120" w:after="120"/>
    </w:pPr>
    <w:rPr>
      <w:rFonts w:ascii="Calibri" w:hAnsi="Calibri" w:cs="Calibri"/>
      <w:b/>
      <w:bCs/>
      <w:caps/>
      <w:sz w:val="20"/>
      <w:szCs w:val="20"/>
    </w:rPr>
  </w:style>
  <w:style w:type="paragraph" w:customStyle="1" w:styleId="TOC21">
    <w:name w:val="TOC 21"/>
    <w:basedOn w:val="Normal"/>
    <w:next w:val="TOC2"/>
    <w:uiPriority w:val="39"/>
    <w:qFormat/>
    <w:rsid w:val="00983C95"/>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983C95"/>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983C95"/>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983C95"/>
    <w:rPr>
      <w:sz w:val="20"/>
      <w:szCs w:val="20"/>
    </w:rPr>
  </w:style>
  <w:style w:type="character" w:customStyle="1" w:styleId="CommentSubjectChar2">
    <w:name w:val="Comment Subject Char2"/>
    <w:basedOn w:val="CommentTextChar3"/>
    <w:uiPriority w:val="99"/>
    <w:semiHidden/>
    <w:rsid w:val="00983C95"/>
    <w:rPr>
      <w:b/>
      <w:bCs/>
      <w:sz w:val="20"/>
      <w:szCs w:val="20"/>
    </w:rPr>
  </w:style>
  <w:style w:type="character" w:customStyle="1" w:styleId="BalloonTextChar2">
    <w:name w:val="Balloon Text Char2"/>
    <w:basedOn w:val="DefaultParagraphFont"/>
    <w:uiPriority w:val="99"/>
    <w:semiHidden/>
    <w:rsid w:val="00983C95"/>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983C95"/>
  </w:style>
  <w:style w:type="character" w:customStyle="1" w:styleId="FooterChar1">
    <w:name w:val="Footer Char1"/>
    <w:aliases w:val=" Car Car Car Car Car Char1, Car Car Car Car Char1,Car Car Car Car Car Char1,Car Car Car Car Char1"/>
    <w:basedOn w:val="DefaultParagraphFont"/>
    <w:uiPriority w:val="99"/>
    <w:semiHidden/>
    <w:rsid w:val="00983C95"/>
  </w:style>
  <w:style w:type="character" w:customStyle="1" w:styleId="EndnoteTextChar2">
    <w:name w:val="Endnote Text Char2"/>
    <w:basedOn w:val="DefaultParagraphFont"/>
    <w:uiPriority w:val="99"/>
    <w:semiHidden/>
    <w:rsid w:val="00983C95"/>
    <w:rPr>
      <w:sz w:val="20"/>
      <w:szCs w:val="20"/>
    </w:rPr>
  </w:style>
  <w:style w:type="table" w:customStyle="1" w:styleId="GridTable4-Accent113">
    <w:name w:val="Grid Table 4 - Accent 113"/>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983C9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983C9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983C9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983C9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983C9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983C9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983C9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983C9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983C9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983C95"/>
  </w:style>
  <w:style w:type="character" w:customStyle="1" w:styleId="docsum-pmid">
    <w:name w:val="docsum-pmid"/>
    <w:basedOn w:val="DefaultParagraphFont"/>
    <w:rsid w:val="00983C95"/>
  </w:style>
  <w:style w:type="character" w:customStyle="1" w:styleId="Titre4">
    <w:name w:val="Titre4"/>
    <w:basedOn w:val="DefaultParagraphFont"/>
    <w:rsid w:val="00983C95"/>
  </w:style>
  <w:style w:type="character" w:customStyle="1" w:styleId="Titre5">
    <w:name w:val="Titre5"/>
    <w:basedOn w:val="DefaultParagraphFont"/>
    <w:rsid w:val="00983C95"/>
  </w:style>
  <w:style w:type="table" w:customStyle="1" w:styleId="TableGrid90">
    <w:name w:val="Table Grid9"/>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983C9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983C9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983C95"/>
    <w:rPr>
      <w:color w:val="605E5C"/>
      <w:shd w:val="clear" w:color="auto" w:fill="E1DFDD"/>
    </w:rPr>
  </w:style>
  <w:style w:type="table" w:customStyle="1" w:styleId="TableGrid133">
    <w:name w:val="TableGrid13"/>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983C9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983C9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983C9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983C9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983C9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983C9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983C9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983C9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983C9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983C9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983C9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983C9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983C9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983C9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983C9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983C9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983C9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983C9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983C9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983C9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983C9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983C9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983C9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983C9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983C9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983C9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983C9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983C9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983C9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983C9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983C9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983C9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983C9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983C9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983C9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983C9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983C9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983C9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983C9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983C9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983C9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983C9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983C9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983C9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983C9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983C9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983C95"/>
  </w:style>
  <w:style w:type="character" w:customStyle="1" w:styleId="hilighti">
    <w:name w:val="hilighti"/>
    <w:basedOn w:val="DefaultParagraphFont"/>
    <w:rsid w:val="00983C95"/>
  </w:style>
  <w:style w:type="paragraph" w:customStyle="1" w:styleId="IndexHeading1">
    <w:name w:val="Index Heading1"/>
    <w:basedOn w:val="Normal"/>
    <w:next w:val="Index1"/>
    <w:uiPriority w:val="99"/>
    <w:semiHidden/>
    <w:unhideWhenUsed/>
    <w:rsid w:val="00983C95"/>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983C95"/>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983C95"/>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983C95"/>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983C95"/>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983C95"/>
  </w:style>
  <w:style w:type="character" w:customStyle="1" w:styleId="ref-journal">
    <w:name w:val="ref-journal"/>
    <w:basedOn w:val="DefaultParagraphFont"/>
    <w:rsid w:val="00983C95"/>
  </w:style>
  <w:style w:type="character" w:customStyle="1" w:styleId="ref-vol">
    <w:name w:val="ref-vol"/>
    <w:basedOn w:val="DefaultParagraphFont"/>
    <w:rsid w:val="00983C95"/>
  </w:style>
  <w:style w:type="table" w:customStyle="1" w:styleId="TableGrid200">
    <w:name w:val="Table Grid20"/>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983C95"/>
    <w:rPr>
      <w:rFonts w:ascii="Times New Roman" w:eastAsia="Times New Roman" w:hAnsi="Times New Roman" w:cs="Arial"/>
      <w:lang w:val="en-CA"/>
    </w:rPr>
  </w:style>
  <w:style w:type="table" w:customStyle="1" w:styleId="TableGrid540">
    <w:name w:val="Table Grid54"/>
    <w:basedOn w:val="TableNormal"/>
    <w:next w:val="TableGrid"/>
    <w:uiPriority w:val="59"/>
    <w:rsid w:val="00983C95"/>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983C95"/>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983C95"/>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983C95"/>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983C95"/>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983C95"/>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983C95"/>
  </w:style>
  <w:style w:type="numbering" w:customStyle="1" w:styleId="1ai621">
    <w:name w:val="1 / a / i621"/>
    <w:basedOn w:val="NoList"/>
    <w:next w:val="NoList"/>
    <w:rsid w:val="00983C95"/>
  </w:style>
  <w:style w:type="numbering" w:customStyle="1" w:styleId="111111631">
    <w:name w:val="1 / 1.1 / 1.1.1631"/>
    <w:basedOn w:val="NoList"/>
    <w:next w:val="NoList"/>
    <w:rsid w:val="00983C95"/>
  </w:style>
  <w:style w:type="numbering" w:customStyle="1" w:styleId="ImportierterStil121">
    <w:name w:val="Importierter Stil: 121"/>
    <w:rsid w:val="00983C95"/>
  </w:style>
  <w:style w:type="numbering" w:customStyle="1" w:styleId="List05111">
    <w:name w:val="List 05111"/>
    <w:basedOn w:val="NoList"/>
    <w:rsid w:val="00983C95"/>
  </w:style>
  <w:style w:type="numbering" w:customStyle="1" w:styleId="ImportierterStil1111">
    <w:name w:val="Importierter Stil: 1111"/>
    <w:rsid w:val="00983C95"/>
  </w:style>
  <w:style w:type="table" w:customStyle="1" w:styleId="TableGrid1811">
    <w:name w:val="Table Grid1811"/>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983C95"/>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983C95"/>
    <w:rPr>
      <w:rFonts w:ascii="Arial" w:hAnsi="Arial"/>
      <w:sz w:val="22"/>
    </w:rPr>
  </w:style>
  <w:style w:type="table" w:customStyle="1" w:styleId="TableGrid06">
    <w:name w:val="Table Grid06"/>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983C95"/>
  </w:style>
  <w:style w:type="character" w:customStyle="1" w:styleId="gmail-eop">
    <w:name w:val="gmail-eop"/>
    <w:basedOn w:val="DefaultParagraphFont"/>
    <w:rsid w:val="00983C95"/>
  </w:style>
  <w:style w:type="table" w:customStyle="1" w:styleId="TableGrid116">
    <w:name w:val="Table Grid116"/>
    <w:basedOn w:val="TableNormal"/>
    <w:next w:val="TableGrid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983C95"/>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983C95"/>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983C95"/>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983C95"/>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983C95"/>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983C95"/>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983C95"/>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983C95"/>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983C95"/>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983C95"/>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983C95"/>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983C95"/>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983C95"/>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983C95"/>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983C95"/>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983C95"/>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983C95"/>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983C95"/>
    <w:pPr>
      <w:spacing w:after="120"/>
      <w:ind w:hanging="425"/>
    </w:pPr>
  </w:style>
  <w:style w:type="character" w:customStyle="1" w:styleId="paraACar">
    <w:name w:val="paraA Car"/>
    <w:link w:val="paraA0"/>
    <w:uiPriority w:val="99"/>
    <w:locked/>
    <w:rsid w:val="00983C95"/>
    <w:rPr>
      <w:rFonts w:ascii="Arial" w:eastAsia="Times New Roman" w:hAnsi="Arial" w:cs="Arial"/>
      <w:sz w:val="18"/>
      <w:szCs w:val="18"/>
      <w:lang w:val="en-GB" w:eastAsia="fr-FR"/>
    </w:rPr>
  </w:style>
  <w:style w:type="paragraph" w:customStyle="1" w:styleId="Referencetitle">
    <w:name w:val="Reference_title"/>
    <w:basedOn w:val="Normal"/>
    <w:uiPriority w:val="99"/>
    <w:rsid w:val="00983C95"/>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983C95"/>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983C95"/>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983C95"/>
  </w:style>
  <w:style w:type="table" w:customStyle="1" w:styleId="TableGrid25">
    <w:name w:val="Table Grid25"/>
    <w:basedOn w:val="TableNormal"/>
    <w:next w:val="TableGrid"/>
    <w:uiPriority w:val="59"/>
    <w:rsid w:val="00983C95"/>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983C95"/>
  </w:style>
  <w:style w:type="table" w:customStyle="1" w:styleId="TableNormal18">
    <w:name w:val="Table Normal18"/>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983C95"/>
  </w:style>
  <w:style w:type="table" w:customStyle="1" w:styleId="TableGrid174">
    <w:name w:val="Table Grid174"/>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983C95"/>
    <w:pPr>
      <w:numPr>
        <w:numId w:val="67"/>
      </w:numPr>
    </w:pPr>
  </w:style>
  <w:style w:type="numbering" w:customStyle="1" w:styleId="ArticleSection253">
    <w:name w:val="Article / Section253"/>
    <w:basedOn w:val="NoList"/>
    <w:next w:val="NoList"/>
    <w:rsid w:val="00983C95"/>
  </w:style>
  <w:style w:type="numbering" w:customStyle="1" w:styleId="1ai253">
    <w:name w:val="1 / a / i253"/>
    <w:basedOn w:val="NoList"/>
    <w:next w:val="NoList"/>
    <w:rsid w:val="00983C95"/>
  </w:style>
  <w:style w:type="numbering" w:customStyle="1" w:styleId="111111253">
    <w:name w:val="1 / 1.1 / 1.1.1253"/>
    <w:basedOn w:val="NoList"/>
    <w:next w:val="NoList"/>
    <w:rsid w:val="00983C95"/>
  </w:style>
  <w:style w:type="numbering" w:customStyle="1" w:styleId="List0153">
    <w:name w:val="List 0153"/>
    <w:basedOn w:val="NoList"/>
    <w:rsid w:val="00983C95"/>
  </w:style>
  <w:style w:type="table" w:customStyle="1" w:styleId="TableGrid1224">
    <w:name w:val="Table Grid1224"/>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983C95"/>
    <w:pPr>
      <w:numPr>
        <w:numId w:val="68"/>
      </w:numPr>
    </w:pPr>
  </w:style>
  <w:style w:type="numbering" w:customStyle="1" w:styleId="ImportedStyle16113">
    <w:name w:val="Imported Style 16113"/>
    <w:rsid w:val="00983C95"/>
  </w:style>
  <w:style w:type="table" w:customStyle="1" w:styleId="TableGrid184">
    <w:name w:val="Table Grid184"/>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983C95"/>
  </w:style>
  <w:style w:type="numbering" w:customStyle="1" w:styleId="11111157">
    <w:name w:val="1 / 1.1 / 1.1.157"/>
    <w:basedOn w:val="NoList"/>
    <w:next w:val="NoList"/>
    <w:rsid w:val="00983C95"/>
  </w:style>
  <w:style w:type="table" w:customStyle="1" w:styleId="TableNormal19">
    <w:name w:val="Table Normal19"/>
    <w:rsid w:val="00983C9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983C95"/>
  </w:style>
  <w:style w:type="numbering" w:customStyle="1" w:styleId="111111516">
    <w:name w:val="1 / 1.1 / 1.1.1516"/>
    <w:basedOn w:val="NoList"/>
    <w:next w:val="NoList"/>
    <w:rsid w:val="00983C95"/>
  </w:style>
  <w:style w:type="numbering" w:customStyle="1" w:styleId="List0416">
    <w:name w:val="List 0416"/>
    <w:basedOn w:val="NoList"/>
    <w:rsid w:val="00983C95"/>
  </w:style>
  <w:style w:type="numbering" w:customStyle="1" w:styleId="List21516">
    <w:name w:val="List 21516"/>
    <w:basedOn w:val="NoList"/>
    <w:rsid w:val="00983C95"/>
  </w:style>
  <w:style w:type="numbering" w:customStyle="1" w:styleId="111111716">
    <w:name w:val="1 / 1.1 / 1.1.1716"/>
    <w:basedOn w:val="NoList"/>
    <w:next w:val="NoList"/>
    <w:rsid w:val="00983C95"/>
  </w:style>
  <w:style w:type="numbering" w:customStyle="1" w:styleId="ImportedStyle186">
    <w:name w:val="Imported Style 186"/>
    <w:rsid w:val="00983C95"/>
  </w:style>
  <w:style w:type="numbering" w:customStyle="1" w:styleId="List2176">
    <w:name w:val="List 2176"/>
    <w:basedOn w:val="NoList"/>
    <w:rsid w:val="00983C95"/>
  </w:style>
  <w:style w:type="table" w:customStyle="1" w:styleId="TableGrid175">
    <w:name w:val="Table Grid175"/>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983C95"/>
  </w:style>
  <w:style w:type="numbering" w:customStyle="1" w:styleId="ArticleSection2541">
    <w:name w:val="Article / Section2541"/>
    <w:basedOn w:val="NoList"/>
    <w:next w:val="NoList"/>
    <w:rsid w:val="00983C95"/>
  </w:style>
  <w:style w:type="numbering" w:customStyle="1" w:styleId="1ai254">
    <w:name w:val="1 / a / i254"/>
    <w:basedOn w:val="NoList"/>
    <w:next w:val="NoList"/>
    <w:rsid w:val="00983C95"/>
  </w:style>
  <w:style w:type="numbering" w:customStyle="1" w:styleId="111111254">
    <w:name w:val="1 / 1.1 / 1.1.1254"/>
    <w:basedOn w:val="NoList"/>
    <w:next w:val="NoList"/>
    <w:rsid w:val="00983C95"/>
  </w:style>
  <w:style w:type="numbering" w:customStyle="1" w:styleId="List01541">
    <w:name w:val="List 01541"/>
    <w:basedOn w:val="NoList"/>
    <w:rsid w:val="00983C95"/>
  </w:style>
  <w:style w:type="numbering" w:customStyle="1" w:styleId="List11541">
    <w:name w:val="List 11541"/>
    <w:basedOn w:val="NoList"/>
    <w:rsid w:val="00983C95"/>
  </w:style>
  <w:style w:type="numbering" w:customStyle="1" w:styleId="List211541">
    <w:name w:val="List 211541"/>
    <w:basedOn w:val="NoList"/>
    <w:rsid w:val="00983C95"/>
  </w:style>
  <w:style w:type="table" w:customStyle="1" w:styleId="TableGrid1225">
    <w:name w:val="Table Grid1225"/>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983C95"/>
  </w:style>
  <w:style w:type="numbering" w:customStyle="1" w:styleId="ImportedStyle42324">
    <w:name w:val="Imported Style 42324"/>
    <w:rsid w:val="00983C95"/>
  </w:style>
  <w:style w:type="numbering" w:customStyle="1" w:styleId="ImportedStyle52324">
    <w:name w:val="Imported Style 52324"/>
    <w:rsid w:val="00983C95"/>
    <w:pPr>
      <w:numPr>
        <w:numId w:val="70"/>
      </w:numPr>
    </w:pPr>
  </w:style>
  <w:style w:type="numbering" w:customStyle="1" w:styleId="ArticleSection23241">
    <w:name w:val="Article / Section23241"/>
    <w:basedOn w:val="NoList"/>
    <w:next w:val="NoList"/>
    <w:rsid w:val="00983C95"/>
  </w:style>
  <w:style w:type="numbering" w:customStyle="1" w:styleId="ImportedStyle46241">
    <w:name w:val="Imported Style 46241"/>
    <w:rsid w:val="00983C95"/>
  </w:style>
  <w:style w:type="numbering" w:customStyle="1" w:styleId="ImportedStyle56241">
    <w:name w:val="Imported Style 56241"/>
    <w:rsid w:val="00983C95"/>
  </w:style>
  <w:style w:type="numbering" w:customStyle="1" w:styleId="ImportedStyle16241">
    <w:name w:val="Imported Style 16241"/>
    <w:rsid w:val="00983C95"/>
  </w:style>
  <w:style w:type="numbering" w:customStyle="1" w:styleId="ArticleSection6241">
    <w:name w:val="Article / Section6241"/>
    <w:basedOn w:val="NoList"/>
    <w:next w:val="NoList"/>
    <w:rsid w:val="00983C95"/>
  </w:style>
  <w:style w:type="numbering" w:customStyle="1" w:styleId="1ai624">
    <w:name w:val="1 / a / i624"/>
    <w:basedOn w:val="NoList"/>
    <w:next w:val="NoList"/>
    <w:rsid w:val="00983C95"/>
    <w:pPr>
      <w:numPr>
        <w:numId w:val="72"/>
      </w:numPr>
    </w:pPr>
  </w:style>
  <w:style w:type="numbering" w:customStyle="1" w:styleId="111111634">
    <w:name w:val="1 / 1.1 / 1.1.1634"/>
    <w:basedOn w:val="NoList"/>
    <w:next w:val="NoList"/>
    <w:rsid w:val="00983C95"/>
    <w:pPr>
      <w:numPr>
        <w:numId w:val="71"/>
      </w:numPr>
    </w:pPr>
  </w:style>
  <w:style w:type="numbering" w:customStyle="1" w:styleId="ImportierterStil1241">
    <w:name w:val="Importierter Stil: 1241"/>
    <w:rsid w:val="00983C95"/>
  </w:style>
  <w:style w:type="numbering" w:customStyle="1" w:styleId="1ai5115">
    <w:name w:val="1 / a / i5115"/>
    <w:basedOn w:val="NoList"/>
    <w:next w:val="NoList"/>
    <w:rsid w:val="00983C95"/>
  </w:style>
  <w:style w:type="numbering" w:customStyle="1" w:styleId="1111115115">
    <w:name w:val="1 / 1.1 / 1.1.15115"/>
    <w:basedOn w:val="NoList"/>
    <w:next w:val="NoList"/>
    <w:rsid w:val="00983C95"/>
  </w:style>
  <w:style w:type="numbering" w:customStyle="1" w:styleId="List04115">
    <w:name w:val="List 04115"/>
    <w:basedOn w:val="NoList"/>
    <w:rsid w:val="00983C95"/>
  </w:style>
  <w:style w:type="numbering" w:customStyle="1" w:styleId="List14114">
    <w:name w:val="List 14114"/>
    <w:basedOn w:val="NoList"/>
    <w:rsid w:val="00983C95"/>
  </w:style>
  <w:style w:type="numbering" w:customStyle="1" w:styleId="List214114">
    <w:name w:val="List 214114"/>
    <w:basedOn w:val="NoList"/>
    <w:rsid w:val="00983C95"/>
    <w:pPr>
      <w:numPr>
        <w:numId w:val="69"/>
      </w:numPr>
    </w:pPr>
  </w:style>
  <w:style w:type="numbering" w:customStyle="1" w:styleId="ImportedStyle423114">
    <w:name w:val="Imported Style 423114"/>
    <w:rsid w:val="00983C95"/>
  </w:style>
  <w:style w:type="numbering" w:customStyle="1" w:styleId="List013114">
    <w:name w:val="List 013114"/>
    <w:basedOn w:val="NoList"/>
    <w:rsid w:val="00983C95"/>
  </w:style>
  <w:style w:type="numbering" w:customStyle="1" w:styleId="ImportedStyle16114">
    <w:name w:val="Imported Style 16114"/>
    <w:rsid w:val="00983C95"/>
  </w:style>
  <w:style w:type="numbering" w:customStyle="1" w:styleId="List05114">
    <w:name w:val="List 05114"/>
    <w:basedOn w:val="NoList"/>
    <w:rsid w:val="00983C95"/>
    <w:pPr>
      <w:numPr>
        <w:numId w:val="73"/>
      </w:numPr>
    </w:pPr>
  </w:style>
  <w:style w:type="numbering" w:customStyle="1" w:styleId="List215115">
    <w:name w:val="List 215115"/>
    <w:basedOn w:val="NoList"/>
    <w:rsid w:val="00983C95"/>
  </w:style>
  <w:style w:type="numbering" w:customStyle="1" w:styleId="ImportierterStil1114">
    <w:name w:val="Importierter Stil: 1114"/>
    <w:rsid w:val="00983C95"/>
  </w:style>
  <w:style w:type="numbering" w:customStyle="1" w:styleId="1111117115">
    <w:name w:val="1 / 1.1 / 1.1.17115"/>
    <w:basedOn w:val="NoList"/>
    <w:next w:val="NoList"/>
    <w:rsid w:val="00983C95"/>
  </w:style>
  <w:style w:type="numbering" w:customStyle="1" w:styleId="ImportedStyle4814">
    <w:name w:val="Imported Style 4814"/>
    <w:rsid w:val="00983C95"/>
  </w:style>
  <w:style w:type="numbering" w:customStyle="1" w:styleId="ImportedStyle5814">
    <w:name w:val="Imported Style 5814"/>
    <w:rsid w:val="00983C95"/>
  </w:style>
  <w:style w:type="numbering" w:customStyle="1" w:styleId="ImportedStyle1815">
    <w:name w:val="Imported Style 1815"/>
    <w:rsid w:val="00983C95"/>
  </w:style>
  <w:style w:type="numbering" w:customStyle="1" w:styleId="ArticleSection814">
    <w:name w:val="Article / Section814"/>
    <w:basedOn w:val="NoList"/>
    <w:next w:val="NoList"/>
    <w:rsid w:val="00983C95"/>
  </w:style>
  <w:style w:type="numbering" w:customStyle="1" w:styleId="1ai814">
    <w:name w:val="1 / a / i814"/>
    <w:basedOn w:val="NoList"/>
    <w:next w:val="NoList"/>
    <w:rsid w:val="00983C95"/>
  </w:style>
  <w:style w:type="numbering" w:customStyle="1" w:styleId="List0714">
    <w:name w:val="List 0714"/>
    <w:basedOn w:val="NoList"/>
    <w:rsid w:val="00983C95"/>
  </w:style>
  <w:style w:type="numbering" w:customStyle="1" w:styleId="List1714">
    <w:name w:val="List 1714"/>
    <w:basedOn w:val="NoList"/>
    <w:rsid w:val="00983C95"/>
  </w:style>
  <w:style w:type="numbering" w:customStyle="1" w:styleId="List21715">
    <w:name w:val="List 21715"/>
    <w:basedOn w:val="NoList"/>
    <w:rsid w:val="00983C95"/>
  </w:style>
  <w:style w:type="numbering" w:customStyle="1" w:styleId="1111116214">
    <w:name w:val="1 / 1.1 / 1.1.16214"/>
    <w:basedOn w:val="NoList"/>
    <w:next w:val="NoList"/>
    <w:rsid w:val="00983C95"/>
  </w:style>
  <w:style w:type="table" w:customStyle="1" w:styleId="TableGrid185">
    <w:name w:val="Table Grid185"/>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983C95"/>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983C95"/>
    <w:pPr>
      <w:spacing w:after="100"/>
      <w:ind w:left="1100"/>
    </w:pPr>
    <w:rPr>
      <w:rFonts w:eastAsia="Yu Mincho"/>
      <w:lang w:eastAsia="en-CA"/>
    </w:rPr>
  </w:style>
  <w:style w:type="table" w:customStyle="1" w:styleId="TableGrid26">
    <w:name w:val="Table Grid26"/>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983C95"/>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983C95"/>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983C95"/>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983C95"/>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983C95"/>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983C95"/>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983C95"/>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983C95"/>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983C95"/>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983C95"/>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983C95"/>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983C95"/>
    <w:pPr>
      <w:spacing w:after="100"/>
      <w:ind w:left="1760"/>
    </w:pPr>
    <w:rPr>
      <w:rFonts w:eastAsia="Yu Mincho"/>
      <w:lang w:eastAsia="en-CA"/>
    </w:rPr>
  </w:style>
  <w:style w:type="table" w:customStyle="1" w:styleId="TableGrid251">
    <w:name w:val="Table Grid251"/>
    <w:basedOn w:val="TableNormal"/>
    <w:next w:val="TableGrid"/>
    <w:uiPriority w:val="59"/>
    <w:rsid w:val="00983C95"/>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983C95"/>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983C95"/>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983C95"/>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983C95"/>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983C95"/>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983C9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983C95"/>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983C9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83C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3C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983C95"/>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983C95"/>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983C9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983C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983C95"/>
  </w:style>
  <w:style w:type="numbering" w:customStyle="1" w:styleId="1ai622">
    <w:name w:val="1 / a / i622"/>
    <w:basedOn w:val="NoList"/>
    <w:next w:val="NoList"/>
    <w:rsid w:val="00983C95"/>
  </w:style>
  <w:style w:type="numbering" w:customStyle="1" w:styleId="111111632">
    <w:name w:val="1 / 1.1 / 1.1.1632"/>
    <w:basedOn w:val="NoList"/>
    <w:next w:val="NoList"/>
    <w:rsid w:val="00983C95"/>
  </w:style>
  <w:style w:type="numbering" w:customStyle="1" w:styleId="ImportierterStil122">
    <w:name w:val="Importierter Stil: 122"/>
    <w:rsid w:val="00983C95"/>
  </w:style>
  <w:style w:type="numbering" w:customStyle="1" w:styleId="List05112">
    <w:name w:val="List 05112"/>
    <w:basedOn w:val="NoList"/>
    <w:rsid w:val="00983C95"/>
  </w:style>
  <w:style w:type="numbering" w:customStyle="1" w:styleId="ImportierterStil1112">
    <w:name w:val="Importierter Stil: 1112"/>
    <w:rsid w:val="00983C95"/>
  </w:style>
  <w:style w:type="table" w:customStyle="1" w:styleId="TableGrid1812">
    <w:name w:val="Table Grid1812"/>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983C95"/>
  </w:style>
  <w:style w:type="numbering" w:customStyle="1" w:styleId="ImportedStyle42531">
    <w:name w:val="Imported Style 42531"/>
    <w:rsid w:val="00983C95"/>
  </w:style>
  <w:style w:type="numbering" w:customStyle="1" w:styleId="ArticleSection2531">
    <w:name w:val="Article / Section2531"/>
    <w:basedOn w:val="NoList"/>
    <w:next w:val="NoList"/>
    <w:rsid w:val="00983C95"/>
  </w:style>
  <w:style w:type="numbering" w:customStyle="1" w:styleId="1ai2531">
    <w:name w:val="1 / a / i2531"/>
    <w:basedOn w:val="NoList"/>
    <w:next w:val="NoList"/>
    <w:rsid w:val="00983C95"/>
  </w:style>
  <w:style w:type="numbering" w:customStyle="1" w:styleId="1111112531">
    <w:name w:val="1 / 1.1 / 1.1.12531"/>
    <w:basedOn w:val="NoList"/>
    <w:next w:val="NoList"/>
    <w:rsid w:val="00983C95"/>
  </w:style>
  <w:style w:type="numbering" w:customStyle="1" w:styleId="List01531">
    <w:name w:val="List 01531"/>
    <w:basedOn w:val="NoList"/>
    <w:rsid w:val="00983C95"/>
  </w:style>
  <w:style w:type="numbering" w:customStyle="1" w:styleId="List0131131">
    <w:name w:val="List 0131131"/>
    <w:basedOn w:val="NoList"/>
    <w:rsid w:val="00983C95"/>
  </w:style>
  <w:style w:type="numbering" w:customStyle="1" w:styleId="ImportedStyle161131">
    <w:name w:val="Imported Style 161131"/>
    <w:rsid w:val="00983C95"/>
  </w:style>
  <w:style w:type="numbering" w:customStyle="1" w:styleId="111111571">
    <w:name w:val="1 / 1.1 / 1.1.1571"/>
    <w:basedOn w:val="NoList"/>
    <w:next w:val="NoList"/>
    <w:rsid w:val="00983C95"/>
  </w:style>
  <w:style w:type="numbering" w:customStyle="1" w:styleId="1ai5161">
    <w:name w:val="1 / a / i5161"/>
    <w:basedOn w:val="NoList"/>
    <w:next w:val="NoList"/>
    <w:rsid w:val="00983C95"/>
  </w:style>
  <w:style w:type="numbering" w:customStyle="1" w:styleId="1111115161">
    <w:name w:val="1 / 1.1 / 1.1.15161"/>
    <w:basedOn w:val="NoList"/>
    <w:next w:val="NoList"/>
    <w:rsid w:val="00983C95"/>
  </w:style>
  <w:style w:type="numbering" w:customStyle="1" w:styleId="List04161">
    <w:name w:val="List 04161"/>
    <w:basedOn w:val="NoList"/>
    <w:rsid w:val="00983C95"/>
  </w:style>
  <w:style w:type="numbering" w:customStyle="1" w:styleId="List215161">
    <w:name w:val="List 215161"/>
    <w:basedOn w:val="NoList"/>
    <w:rsid w:val="00983C95"/>
  </w:style>
  <w:style w:type="numbering" w:customStyle="1" w:styleId="1111117161">
    <w:name w:val="1 / 1.1 / 1.1.17161"/>
    <w:basedOn w:val="NoList"/>
    <w:next w:val="NoList"/>
    <w:rsid w:val="00983C95"/>
  </w:style>
  <w:style w:type="numbering" w:customStyle="1" w:styleId="ImportedStyle1861">
    <w:name w:val="Imported Style 1861"/>
    <w:rsid w:val="00983C95"/>
  </w:style>
  <w:style w:type="numbering" w:customStyle="1" w:styleId="List21761">
    <w:name w:val="List 21761"/>
    <w:basedOn w:val="NoList"/>
    <w:rsid w:val="00983C95"/>
  </w:style>
  <w:style w:type="numbering" w:customStyle="1" w:styleId="ImportedStyle42541">
    <w:name w:val="Imported Style 42541"/>
    <w:rsid w:val="00983C95"/>
  </w:style>
  <w:style w:type="numbering" w:customStyle="1" w:styleId="ArticleSection2542">
    <w:name w:val="Article / Section2542"/>
    <w:basedOn w:val="NoList"/>
    <w:next w:val="NoList"/>
    <w:rsid w:val="00983C95"/>
  </w:style>
  <w:style w:type="numbering" w:customStyle="1" w:styleId="1ai2541">
    <w:name w:val="1 / a / i2541"/>
    <w:basedOn w:val="NoList"/>
    <w:next w:val="NoList"/>
    <w:rsid w:val="00983C95"/>
  </w:style>
  <w:style w:type="numbering" w:customStyle="1" w:styleId="1111112541">
    <w:name w:val="1 / 1.1 / 1.1.12541"/>
    <w:basedOn w:val="NoList"/>
    <w:next w:val="NoList"/>
    <w:rsid w:val="00983C95"/>
  </w:style>
  <w:style w:type="numbering" w:customStyle="1" w:styleId="List01542">
    <w:name w:val="List 01542"/>
    <w:basedOn w:val="NoList"/>
    <w:rsid w:val="00983C95"/>
  </w:style>
  <w:style w:type="numbering" w:customStyle="1" w:styleId="List11542">
    <w:name w:val="List 11542"/>
    <w:basedOn w:val="NoList"/>
    <w:rsid w:val="00983C95"/>
  </w:style>
  <w:style w:type="numbering" w:customStyle="1" w:styleId="List211542">
    <w:name w:val="List 211542"/>
    <w:basedOn w:val="NoList"/>
    <w:rsid w:val="00983C95"/>
  </w:style>
  <w:style w:type="numbering" w:customStyle="1" w:styleId="1111115251">
    <w:name w:val="1 / 1.1 / 1.1.15251"/>
    <w:basedOn w:val="NoList"/>
    <w:next w:val="NoList"/>
    <w:rsid w:val="00983C95"/>
  </w:style>
  <w:style w:type="numbering" w:customStyle="1" w:styleId="ImportedStyle423241">
    <w:name w:val="Imported Style 423241"/>
    <w:rsid w:val="00983C95"/>
  </w:style>
  <w:style w:type="numbering" w:customStyle="1" w:styleId="ImportedStyle523241">
    <w:name w:val="Imported Style 523241"/>
    <w:rsid w:val="00983C95"/>
  </w:style>
  <w:style w:type="numbering" w:customStyle="1" w:styleId="ArticleSection23242">
    <w:name w:val="Article / Section23242"/>
    <w:basedOn w:val="NoList"/>
    <w:next w:val="NoList"/>
    <w:rsid w:val="00983C95"/>
  </w:style>
  <w:style w:type="numbering" w:customStyle="1" w:styleId="ImportedStyle46242">
    <w:name w:val="Imported Style 46242"/>
    <w:rsid w:val="00983C95"/>
  </w:style>
  <w:style w:type="numbering" w:customStyle="1" w:styleId="ImportedStyle56242">
    <w:name w:val="Imported Style 56242"/>
    <w:rsid w:val="00983C95"/>
  </w:style>
  <w:style w:type="numbering" w:customStyle="1" w:styleId="ImportedStyle16242">
    <w:name w:val="Imported Style 16242"/>
    <w:rsid w:val="00983C95"/>
  </w:style>
  <w:style w:type="numbering" w:customStyle="1" w:styleId="ArticleSection6242">
    <w:name w:val="Article / Section6242"/>
    <w:basedOn w:val="NoList"/>
    <w:next w:val="NoList"/>
    <w:rsid w:val="00983C95"/>
  </w:style>
  <w:style w:type="numbering" w:customStyle="1" w:styleId="1ai6241">
    <w:name w:val="1 / a / i6241"/>
    <w:basedOn w:val="NoList"/>
    <w:next w:val="NoList"/>
    <w:rsid w:val="00983C95"/>
  </w:style>
  <w:style w:type="numbering" w:customStyle="1" w:styleId="1111116341">
    <w:name w:val="1 / 1.1 / 1.1.16341"/>
    <w:basedOn w:val="NoList"/>
    <w:next w:val="NoList"/>
    <w:rsid w:val="00983C95"/>
  </w:style>
  <w:style w:type="numbering" w:customStyle="1" w:styleId="ImportierterStil1242">
    <w:name w:val="Importierter Stil: 1242"/>
    <w:rsid w:val="00983C95"/>
  </w:style>
  <w:style w:type="numbering" w:customStyle="1" w:styleId="1ai51151">
    <w:name w:val="1 / a / i51151"/>
    <w:basedOn w:val="NoList"/>
    <w:next w:val="NoList"/>
    <w:rsid w:val="00983C95"/>
  </w:style>
  <w:style w:type="numbering" w:customStyle="1" w:styleId="11111151151">
    <w:name w:val="1 / 1.1 / 1.1.151151"/>
    <w:basedOn w:val="NoList"/>
    <w:next w:val="NoList"/>
    <w:rsid w:val="00983C95"/>
  </w:style>
  <w:style w:type="numbering" w:customStyle="1" w:styleId="List041151">
    <w:name w:val="List 041151"/>
    <w:basedOn w:val="NoList"/>
    <w:rsid w:val="00983C95"/>
  </w:style>
  <w:style w:type="numbering" w:customStyle="1" w:styleId="List141141">
    <w:name w:val="List 141141"/>
    <w:basedOn w:val="NoList"/>
    <w:rsid w:val="00983C95"/>
  </w:style>
  <w:style w:type="numbering" w:customStyle="1" w:styleId="List2141141">
    <w:name w:val="List 2141141"/>
    <w:basedOn w:val="NoList"/>
    <w:rsid w:val="00983C95"/>
  </w:style>
  <w:style w:type="numbering" w:customStyle="1" w:styleId="ImportedStyle4231141">
    <w:name w:val="Imported Style 4231141"/>
    <w:rsid w:val="00983C95"/>
  </w:style>
  <w:style w:type="numbering" w:customStyle="1" w:styleId="List0131141">
    <w:name w:val="List 0131141"/>
    <w:basedOn w:val="NoList"/>
    <w:rsid w:val="00983C95"/>
  </w:style>
  <w:style w:type="numbering" w:customStyle="1" w:styleId="ImportedStyle161141">
    <w:name w:val="Imported Style 161141"/>
    <w:rsid w:val="00983C95"/>
  </w:style>
  <w:style w:type="numbering" w:customStyle="1" w:styleId="List051141">
    <w:name w:val="List 051141"/>
    <w:basedOn w:val="NoList"/>
    <w:rsid w:val="00983C95"/>
  </w:style>
  <w:style w:type="numbering" w:customStyle="1" w:styleId="List2151151">
    <w:name w:val="List 2151151"/>
    <w:basedOn w:val="NoList"/>
    <w:rsid w:val="00983C95"/>
  </w:style>
  <w:style w:type="numbering" w:customStyle="1" w:styleId="ImportierterStil11141">
    <w:name w:val="Importierter Stil: 11141"/>
    <w:rsid w:val="00983C95"/>
  </w:style>
  <w:style w:type="numbering" w:customStyle="1" w:styleId="11111171151">
    <w:name w:val="1 / 1.1 / 1.1.171151"/>
    <w:basedOn w:val="NoList"/>
    <w:next w:val="NoList"/>
    <w:rsid w:val="00983C95"/>
  </w:style>
  <w:style w:type="numbering" w:customStyle="1" w:styleId="ImportedStyle48141">
    <w:name w:val="Imported Style 48141"/>
    <w:rsid w:val="00983C95"/>
  </w:style>
  <w:style w:type="numbering" w:customStyle="1" w:styleId="ImportedStyle58141">
    <w:name w:val="Imported Style 58141"/>
    <w:rsid w:val="00983C95"/>
  </w:style>
  <w:style w:type="numbering" w:customStyle="1" w:styleId="ImportedStyle18151">
    <w:name w:val="Imported Style 18151"/>
    <w:rsid w:val="00983C95"/>
  </w:style>
  <w:style w:type="numbering" w:customStyle="1" w:styleId="ArticleSection8141">
    <w:name w:val="Article / Section8141"/>
    <w:basedOn w:val="NoList"/>
    <w:next w:val="NoList"/>
    <w:rsid w:val="00983C95"/>
  </w:style>
  <w:style w:type="numbering" w:customStyle="1" w:styleId="1ai8141">
    <w:name w:val="1 / a / i8141"/>
    <w:basedOn w:val="NoList"/>
    <w:next w:val="NoList"/>
    <w:rsid w:val="00983C95"/>
  </w:style>
  <w:style w:type="numbering" w:customStyle="1" w:styleId="List07141">
    <w:name w:val="List 07141"/>
    <w:basedOn w:val="NoList"/>
    <w:rsid w:val="00983C95"/>
  </w:style>
  <w:style w:type="numbering" w:customStyle="1" w:styleId="List17141">
    <w:name w:val="List 17141"/>
    <w:basedOn w:val="NoList"/>
    <w:rsid w:val="00983C95"/>
  </w:style>
  <w:style w:type="numbering" w:customStyle="1" w:styleId="List217151">
    <w:name w:val="List 217151"/>
    <w:basedOn w:val="NoList"/>
    <w:rsid w:val="00983C95"/>
  </w:style>
  <w:style w:type="numbering" w:customStyle="1" w:styleId="11111162141">
    <w:name w:val="1 / 1.1 / 1.1.162141"/>
    <w:basedOn w:val="NoList"/>
    <w:next w:val="NoList"/>
    <w:rsid w:val="00983C95"/>
  </w:style>
  <w:style w:type="table" w:customStyle="1" w:styleId="TableGrid28">
    <w:name w:val="Table Grid28"/>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983C95"/>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983C95"/>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983C95"/>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983C95"/>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983C95"/>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983C95"/>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983C95"/>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983C95"/>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983C95"/>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983C95"/>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983C95"/>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983C95"/>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983C95"/>
    <w:pPr>
      <w:spacing w:after="0"/>
    </w:pPr>
    <w:rPr>
      <w:rFonts w:ascii="Calibri" w:hAnsi="Calibri"/>
    </w:rPr>
  </w:style>
  <w:style w:type="paragraph" w:customStyle="1" w:styleId="TableofAuthorities1">
    <w:name w:val="Table of Authorities1"/>
    <w:basedOn w:val="Normal"/>
    <w:next w:val="Normal"/>
    <w:uiPriority w:val="99"/>
    <w:semiHidden/>
    <w:unhideWhenUsed/>
    <w:rsid w:val="00983C95"/>
    <w:pPr>
      <w:spacing w:after="0"/>
      <w:ind w:left="220" w:hanging="220"/>
    </w:pPr>
    <w:rPr>
      <w:rFonts w:ascii="Calibri" w:hAnsi="Calibri"/>
    </w:rPr>
  </w:style>
  <w:style w:type="paragraph" w:customStyle="1" w:styleId="MacroText1">
    <w:name w:val="Macro Text1"/>
    <w:next w:val="MacroText"/>
    <w:uiPriority w:val="99"/>
    <w:semiHidden/>
    <w:unhideWhenUsed/>
    <w:rsid w:val="00983C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983C95"/>
  </w:style>
  <w:style w:type="numbering" w:customStyle="1" w:styleId="1ai623">
    <w:name w:val="1 / a / i623"/>
    <w:basedOn w:val="NoList"/>
    <w:next w:val="NoList"/>
    <w:rsid w:val="00983C95"/>
  </w:style>
  <w:style w:type="numbering" w:customStyle="1" w:styleId="111111633">
    <w:name w:val="1 / 1.1 / 1.1.1633"/>
    <w:basedOn w:val="NoList"/>
    <w:next w:val="NoList"/>
    <w:rsid w:val="00983C95"/>
  </w:style>
  <w:style w:type="numbering" w:customStyle="1" w:styleId="ImportierterStil123">
    <w:name w:val="Importierter Stil: 123"/>
    <w:rsid w:val="00983C95"/>
  </w:style>
  <w:style w:type="numbering" w:customStyle="1" w:styleId="List05113">
    <w:name w:val="List 05113"/>
    <w:basedOn w:val="NoList"/>
    <w:rsid w:val="00983C95"/>
  </w:style>
  <w:style w:type="numbering" w:customStyle="1" w:styleId="ImportierterStil1113">
    <w:name w:val="Importierter Stil: 1113"/>
    <w:rsid w:val="00983C95"/>
    <w:pPr>
      <w:numPr>
        <w:numId w:val="64"/>
      </w:numPr>
    </w:pPr>
  </w:style>
  <w:style w:type="table" w:customStyle="1" w:styleId="TableGrid1813">
    <w:name w:val="Table Grid1813"/>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983C95"/>
  </w:style>
  <w:style w:type="numbering" w:customStyle="1" w:styleId="ImportedStyle42532">
    <w:name w:val="Imported Style 42532"/>
    <w:rsid w:val="00983C95"/>
  </w:style>
  <w:style w:type="numbering" w:customStyle="1" w:styleId="ArticleSection2532">
    <w:name w:val="Article / Section2532"/>
    <w:basedOn w:val="NoList"/>
    <w:next w:val="NoList"/>
    <w:rsid w:val="00983C95"/>
  </w:style>
  <w:style w:type="numbering" w:customStyle="1" w:styleId="1ai2532">
    <w:name w:val="1 / a / i2532"/>
    <w:basedOn w:val="NoList"/>
    <w:next w:val="NoList"/>
    <w:rsid w:val="00983C95"/>
  </w:style>
  <w:style w:type="numbering" w:customStyle="1" w:styleId="1111112532">
    <w:name w:val="1 / 1.1 / 1.1.12532"/>
    <w:basedOn w:val="NoList"/>
    <w:next w:val="NoList"/>
    <w:rsid w:val="00983C95"/>
  </w:style>
  <w:style w:type="numbering" w:customStyle="1" w:styleId="List01532">
    <w:name w:val="List 01532"/>
    <w:basedOn w:val="NoList"/>
    <w:rsid w:val="00983C95"/>
  </w:style>
  <w:style w:type="numbering" w:customStyle="1" w:styleId="List0131132">
    <w:name w:val="List 0131132"/>
    <w:basedOn w:val="NoList"/>
    <w:rsid w:val="00983C95"/>
  </w:style>
  <w:style w:type="numbering" w:customStyle="1" w:styleId="ImportedStyle161132">
    <w:name w:val="Imported Style 161132"/>
    <w:rsid w:val="00983C95"/>
  </w:style>
  <w:style w:type="numbering" w:customStyle="1" w:styleId="111111572">
    <w:name w:val="1 / 1.1 / 1.1.1572"/>
    <w:basedOn w:val="NoList"/>
    <w:next w:val="NoList"/>
    <w:rsid w:val="00983C95"/>
  </w:style>
  <w:style w:type="numbering" w:customStyle="1" w:styleId="1ai5162">
    <w:name w:val="1 / a / i5162"/>
    <w:basedOn w:val="NoList"/>
    <w:next w:val="NoList"/>
    <w:rsid w:val="00983C95"/>
  </w:style>
  <w:style w:type="numbering" w:customStyle="1" w:styleId="1111115162">
    <w:name w:val="1 / 1.1 / 1.1.15162"/>
    <w:basedOn w:val="NoList"/>
    <w:next w:val="NoList"/>
    <w:rsid w:val="00983C95"/>
  </w:style>
  <w:style w:type="numbering" w:customStyle="1" w:styleId="List04162">
    <w:name w:val="List 04162"/>
    <w:basedOn w:val="NoList"/>
    <w:rsid w:val="00983C95"/>
  </w:style>
  <w:style w:type="numbering" w:customStyle="1" w:styleId="List215162">
    <w:name w:val="List 215162"/>
    <w:basedOn w:val="NoList"/>
    <w:rsid w:val="00983C95"/>
  </w:style>
  <w:style w:type="numbering" w:customStyle="1" w:styleId="1111117162">
    <w:name w:val="1 / 1.1 / 1.1.17162"/>
    <w:basedOn w:val="NoList"/>
    <w:next w:val="NoList"/>
    <w:rsid w:val="00983C95"/>
  </w:style>
  <w:style w:type="numbering" w:customStyle="1" w:styleId="ImportedStyle1862">
    <w:name w:val="Imported Style 1862"/>
    <w:rsid w:val="00983C95"/>
  </w:style>
  <w:style w:type="numbering" w:customStyle="1" w:styleId="List21762">
    <w:name w:val="List 21762"/>
    <w:basedOn w:val="NoList"/>
    <w:rsid w:val="00983C95"/>
  </w:style>
  <w:style w:type="numbering" w:customStyle="1" w:styleId="ImportedStyle42542">
    <w:name w:val="Imported Style 42542"/>
    <w:rsid w:val="00983C95"/>
  </w:style>
  <w:style w:type="numbering" w:customStyle="1" w:styleId="ArticleSection2543">
    <w:name w:val="Article / Section2543"/>
    <w:basedOn w:val="NoList"/>
    <w:next w:val="NoList"/>
    <w:rsid w:val="00983C95"/>
  </w:style>
  <w:style w:type="numbering" w:customStyle="1" w:styleId="1ai2542">
    <w:name w:val="1 / a / i2542"/>
    <w:basedOn w:val="NoList"/>
    <w:next w:val="NoList"/>
    <w:rsid w:val="00983C95"/>
  </w:style>
  <w:style w:type="numbering" w:customStyle="1" w:styleId="1111112542">
    <w:name w:val="1 / 1.1 / 1.1.12542"/>
    <w:basedOn w:val="NoList"/>
    <w:next w:val="NoList"/>
    <w:rsid w:val="00983C95"/>
  </w:style>
  <w:style w:type="numbering" w:customStyle="1" w:styleId="List01543">
    <w:name w:val="List 01543"/>
    <w:basedOn w:val="NoList"/>
    <w:rsid w:val="00983C95"/>
  </w:style>
  <w:style w:type="numbering" w:customStyle="1" w:styleId="List11543">
    <w:name w:val="List 11543"/>
    <w:basedOn w:val="NoList"/>
    <w:rsid w:val="00983C95"/>
  </w:style>
  <w:style w:type="numbering" w:customStyle="1" w:styleId="List211543">
    <w:name w:val="List 211543"/>
    <w:basedOn w:val="NoList"/>
    <w:rsid w:val="00983C95"/>
  </w:style>
  <w:style w:type="numbering" w:customStyle="1" w:styleId="1111115252">
    <w:name w:val="1 / 1.1 / 1.1.15252"/>
    <w:basedOn w:val="NoList"/>
    <w:next w:val="NoList"/>
    <w:rsid w:val="00983C95"/>
  </w:style>
  <w:style w:type="numbering" w:customStyle="1" w:styleId="ImportedStyle423242">
    <w:name w:val="Imported Style 423242"/>
    <w:rsid w:val="00983C95"/>
  </w:style>
  <w:style w:type="numbering" w:customStyle="1" w:styleId="ImportedStyle523242">
    <w:name w:val="Imported Style 523242"/>
    <w:rsid w:val="00983C95"/>
  </w:style>
  <w:style w:type="numbering" w:customStyle="1" w:styleId="ArticleSection23243">
    <w:name w:val="Article / Section23243"/>
    <w:basedOn w:val="NoList"/>
    <w:next w:val="NoList"/>
    <w:rsid w:val="00983C95"/>
  </w:style>
  <w:style w:type="numbering" w:customStyle="1" w:styleId="ImportedStyle46243">
    <w:name w:val="Imported Style 46243"/>
    <w:rsid w:val="00983C95"/>
  </w:style>
  <w:style w:type="numbering" w:customStyle="1" w:styleId="ImportedStyle56243">
    <w:name w:val="Imported Style 56243"/>
    <w:rsid w:val="00983C95"/>
  </w:style>
  <w:style w:type="numbering" w:customStyle="1" w:styleId="ImportedStyle16243">
    <w:name w:val="Imported Style 16243"/>
    <w:rsid w:val="00983C95"/>
  </w:style>
  <w:style w:type="numbering" w:customStyle="1" w:styleId="ArticleSection6243">
    <w:name w:val="Article / Section6243"/>
    <w:basedOn w:val="NoList"/>
    <w:next w:val="NoList"/>
    <w:rsid w:val="00983C95"/>
  </w:style>
  <w:style w:type="numbering" w:customStyle="1" w:styleId="1ai6242">
    <w:name w:val="1 / a / i6242"/>
    <w:basedOn w:val="NoList"/>
    <w:next w:val="NoList"/>
    <w:rsid w:val="00983C95"/>
  </w:style>
  <w:style w:type="numbering" w:customStyle="1" w:styleId="1111116342">
    <w:name w:val="1 / 1.1 / 1.1.16342"/>
    <w:basedOn w:val="NoList"/>
    <w:next w:val="NoList"/>
    <w:rsid w:val="00983C95"/>
  </w:style>
  <w:style w:type="numbering" w:customStyle="1" w:styleId="ImportierterStil1243">
    <w:name w:val="Importierter Stil: 1243"/>
    <w:rsid w:val="00983C95"/>
  </w:style>
  <w:style w:type="numbering" w:customStyle="1" w:styleId="1ai51152">
    <w:name w:val="1 / a / i51152"/>
    <w:basedOn w:val="NoList"/>
    <w:next w:val="NoList"/>
    <w:rsid w:val="00983C95"/>
  </w:style>
  <w:style w:type="numbering" w:customStyle="1" w:styleId="11111151152">
    <w:name w:val="1 / 1.1 / 1.1.151152"/>
    <w:basedOn w:val="NoList"/>
    <w:next w:val="NoList"/>
    <w:rsid w:val="00983C95"/>
  </w:style>
  <w:style w:type="numbering" w:customStyle="1" w:styleId="List041152">
    <w:name w:val="List 041152"/>
    <w:basedOn w:val="NoList"/>
    <w:rsid w:val="00983C95"/>
  </w:style>
  <w:style w:type="numbering" w:customStyle="1" w:styleId="List141142">
    <w:name w:val="List 141142"/>
    <w:basedOn w:val="NoList"/>
    <w:rsid w:val="00983C95"/>
  </w:style>
  <w:style w:type="numbering" w:customStyle="1" w:styleId="List2141142">
    <w:name w:val="List 2141142"/>
    <w:basedOn w:val="NoList"/>
    <w:rsid w:val="00983C95"/>
  </w:style>
  <w:style w:type="numbering" w:customStyle="1" w:styleId="ImportedStyle4231142">
    <w:name w:val="Imported Style 4231142"/>
    <w:rsid w:val="00983C95"/>
  </w:style>
  <w:style w:type="numbering" w:customStyle="1" w:styleId="List0131142">
    <w:name w:val="List 0131142"/>
    <w:basedOn w:val="NoList"/>
    <w:rsid w:val="00983C95"/>
  </w:style>
  <w:style w:type="numbering" w:customStyle="1" w:styleId="ImportedStyle161142">
    <w:name w:val="Imported Style 161142"/>
    <w:rsid w:val="00983C95"/>
  </w:style>
  <w:style w:type="numbering" w:customStyle="1" w:styleId="List051142">
    <w:name w:val="List 051142"/>
    <w:basedOn w:val="NoList"/>
    <w:rsid w:val="00983C95"/>
  </w:style>
  <w:style w:type="numbering" w:customStyle="1" w:styleId="List2151152">
    <w:name w:val="List 2151152"/>
    <w:basedOn w:val="NoList"/>
    <w:rsid w:val="00983C95"/>
  </w:style>
  <w:style w:type="numbering" w:customStyle="1" w:styleId="ImportierterStil11142">
    <w:name w:val="Importierter Stil: 11142"/>
    <w:rsid w:val="00983C95"/>
  </w:style>
  <w:style w:type="numbering" w:customStyle="1" w:styleId="11111171152">
    <w:name w:val="1 / 1.1 / 1.1.171152"/>
    <w:basedOn w:val="NoList"/>
    <w:next w:val="NoList"/>
    <w:rsid w:val="00983C95"/>
  </w:style>
  <w:style w:type="numbering" w:customStyle="1" w:styleId="ImportedStyle48142">
    <w:name w:val="Imported Style 48142"/>
    <w:rsid w:val="00983C95"/>
  </w:style>
  <w:style w:type="numbering" w:customStyle="1" w:styleId="ImportedStyle58142">
    <w:name w:val="Imported Style 58142"/>
    <w:rsid w:val="00983C95"/>
  </w:style>
  <w:style w:type="numbering" w:customStyle="1" w:styleId="ImportedStyle18152">
    <w:name w:val="Imported Style 18152"/>
    <w:rsid w:val="00983C95"/>
  </w:style>
  <w:style w:type="numbering" w:customStyle="1" w:styleId="ArticleSection8142">
    <w:name w:val="Article / Section8142"/>
    <w:basedOn w:val="NoList"/>
    <w:next w:val="NoList"/>
    <w:rsid w:val="00983C95"/>
  </w:style>
  <w:style w:type="numbering" w:customStyle="1" w:styleId="1ai8142">
    <w:name w:val="1 / a / i8142"/>
    <w:basedOn w:val="NoList"/>
    <w:next w:val="NoList"/>
    <w:rsid w:val="00983C95"/>
  </w:style>
  <w:style w:type="numbering" w:customStyle="1" w:styleId="List07142">
    <w:name w:val="List 07142"/>
    <w:basedOn w:val="NoList"/>
    <w:rsid w:val="00983C95"/>
  </w:style>
  <w:style w:type="numbering" w:customStyle="1" w:styleId="List17142">
    <w:name w:val="List 17142"/>
    <w:basedOn w:val="NoList"/>
    <w:rsid w:val="00983C95"/>
  </w:style>
  <w:style w:type="numbering" w:customStyle="1" w:styleId="List217152">
    <w:name w:val="List 217152"/>
    <w:basedOn w:val="NoList"/>
    <w:rsid w:val="00983C95"/>
  </w:style>
  <w:style w:type="numbering" w:customStyle="1" w:styleId="11111162142">
    <w:name w:val="1 / 1.1 / 1.1.162142"/>
    <w:basedOn w:val="NoList"/>
    <w:next w:val="NoList"/>
    <w:rsid w:val="00983C95"/>
  </w:style>
  <w:style w:type="character" w:customStyle="1" w:styleId="HeaderChar5">
    <w:name w:val="Header Char5"/>
    <w:basedOn w:val="DefaultParagraphFont"/>
    <w:uiPriority w:val="99"/>
    <w:rsid w:val="00983C95"/>
  </w:style>
  <w:style w:type="character" w:customStyle="1" w:styleId="FooterChar2">
    <w:name w:val="Footer Char2"/>
    <w:basedOn w:val="DefaultParagraphFont"/>
    <w:uiPriority w:val="99"/>
    <w:rsid w:val="00983C95"/>
  </w:style>
  <w:style w:type="character" w:customStyle="1" w:styleId="FootnoteTextChar1">
    <w:name w:val="Footnote Text Char1"/>
    <w:basedOn w:val="DefaultParagraphFont"/>
    <w:uiPriority w:val="99"/>
    <w:semiHidden/>
    <w:rsid w:val="00983C95"/>
    <w:rPr>
      <w:sz w:val="20"/>
      <w:szCs w:val="20"/>
    </w:rPr>
  </w:style>
  <w:style w:type="character" w:customStyle="1" w:styleId="BalloonTextChar3">
    <w:name w:val="Balloon Text Char3"/>
    <w:basedOn w:val="DefaultParagraphFont"/>
    <w:uiPriority w:val="99"/>
    <w:semiHidden/>
    <w:rsid w:val="00983C95"/>
    <w:rPr>
      <w:rFonts w:ascii="Segoe UI" w:hAnsi="Segoe UI" w:cs="Segoe UI"/>
      <w:sz w:val="18"/>
      <w:szCs w:val="18"/>
    </w:rPr>
  </w:style>
  <w:style w:type="character" w:customStyle="1" w:styleId="EndnoteTextChar3">
    <w:name w:val="Endnote Text Char3"/>
    <w:basedOn w:val="DefaultParagraphFont"/>
    <w:uiPriority w:val="99"/>
    <w:semiHidden/>
    <w:rsid w:val="00983C95"/>
    <w:rPr>
      <w:sz w:val="20"/>
      <w:szCs w:val="20"/>
    </w:rPr>
  </w:style>
  <w:style w:type="character" w:customStyle="1" w:styleId="MacroTextChar1">
    <w:name w:val="Macro Text Char1"/>
    <w:basedOn w:val="DefaultParagraphFont"/>
    <w:uiPriority w:val="99"/>
    <w:semiHidden/>
    <w:rsid w:val="00983C95"/>
    <w:rPr>
      <w:rFonts w:ascii="Consolas" w:hAnsi="Consolas"/>
      <w:sz w:val="20"/>
      <w:szCs w:val="20"/>
    </w:rPr>
  </w:style>
  <w:style w:type="table" w:customStyle="1" w:styleId="TableGrid29">
    <w:name w:val="Table Grid29"/>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983C95"/>
  </w:style>
  <w:style w:type="numbering" w:customStyle="1" w:styleId="ImportedStyle49">
    <w:name w:val="Imported Style 49"/>
    <w:rsid w:val="00983C95"/>
  </w:style>
  <w:style w:type="numbering" w:customStyle="1" w:styleId="ImportedStyle510">
    <w:name w:val="Imported Style 510"/>
    <w:rsid w:val="00983C95"/>
  </w:style>
  <w:style w:type="numbering" w:customStyle="1" w:styleId="ImportedStyle19">
    <w:name w:val="Imported Style 19"/>
    <w:rsid w:val="00983C95"/>
  </w:style>
  <w:style w:type="numbering" w:customStyle="1" w:styleId="ArticleSection10">
    <w:name w:val="Article / Section10"/>
    <w:basedOn w:val="NoList"/>
    <w:next w:val="ArticleSection"/>
    <w:rsid w:val="00983C95"/>
  </w:style>
  <w:style w:type="numbering" w:customStyle="1" w:styleId="1ai10">
    <w:name w:val="1 / a / i10"/>
    <w:basedOn w:val="NoList"/>
    <w:next w:val="1ai"/>
    <w:rsid w:val="00983C95"/>
  </w:style>
  <w:style w:type="numbering" w:customStyle="1" w:styleId="11111115">
    <w:name w:val="1 / 1.1 / 1.1.115"/>
    <w:basedOn w:val="NoList"/>
    <w:next w:val="111111"/>
    <w:rsid w:val="00983C95"/>
  </w:style>
  <w:style w:type="numbering" w:customStyle="1" w:styleId="List09">
    <w:name w:val="List 09"/>
    <w:basedOn w:val="ImportedStyle1"/>
    <w:rsid w:val="00983C95"/>
  </w:style>
  <w:style w:type="numbering" w:customStyle="1" w:styleId="List19">
    <w:name w:val="List 19"/>
    <w:basedOn w:val="NoList"/>
    <w:rsid w:val="00983C95"/>
  </w:style>
  <w:style w:type="numbering" w:customStyle="1" w:styleId="List219">
    <w:name w:val="List 219"/>
    <w:basedOn w:val="NoList"/>
    <w:rsid w:val="00983C95"/>
  </w:style>
  <w:style w:type="table" w:customStyle="1" w:styleId="TableGrid125">
    <w:name w:val="Table Grid125"/>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983C95"/>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983C95"/>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983C95"/>
  </w:style>
  <w:style w:type="character" w:customStyle="1" w:styleId="given-name">
    <w:name w:val="given-name"/>
    <w:basedOn w:val="DefaultParagraphFont"/>
    <w:rsid w:val="00983C95"/>
  </w:style>
  <w:style w:type="character" w:customStyle="1" w:styleId="text0">
    <w:name w:val="text"/>
    <w:basedOn w:val="DefaultParagraphFont"/>
    <w:rsid w:val="00983C95"/>
  </w:style>
  <w:style w:type="character" w:customStyle="1" w:styleId="anchor-text">
    <w:name w:val="anchor-text"/>
    <w:basedOn w:val="DefaultParagraphFont"/>
    <w:rsid w:val="00983C95"/>
  </w:style>
  <w:style w:type="character" w:customStyle="1" w:styleId="free-resources">
    <w:name w:val="free-resources"/>
    <w:basedOn w:val="DefaultParagraphFont"/>
    <w:rsid w:val="00983C95"/>
  </w:style>
  <w:style w:type="character" w:customStyle="1" w:styleId="accordion-tabbedtab-mobile">
    <w:name w:val="accordion-tabbed__tab-mobile"/>
    <w:basedOn w:val="DefaultParagraphFont"/>
    <w:rsid w:val="00983C95"/>
  </w:style>
  <w:style w:type="character" w:customStyle="1" w:styleId="comma-separator">
    <w:name w:val="comma-separator"/>
    <w:basedOn w:val="DefaultParagraphFont"/>
    <w:rsid w:val="00983C95"/>
  </w:style>
  <w:style w:type="character" w:customStyle="1" w:styleId="epub-state">
    <w:name w:val="epub-state"/>
    <w:basedOn w:val="DefaultParagraphFont"/>
    <w:rsid w:val="00983C95"/>
  </w:style>
  <w:style w:type="character" w:customStyle="1" w:styleId="epub-date">
    <w:name w:val="epub-date"/>
    <w:basedOn w:val="DefaultParagraphFont"/>
    <w:rsid w:val="00983C95"/>
  </w:style>
  <w:style w:type="numbering" w:customStyle="1" w:styleId="NoList17">
    <w:name w:val="No List17"/>
    <w:next w:val="NoList"/>
    <w:uiPriority w:val="99"/>
    <w:semiHidden/>
    <w:unhideWhenUsed/>
    <w:rsid w:val="00983C95"/>
  </w:style>
  <w:style w:type="table" w:customStyle="1" w:styleId="LightShading-Accent13">
    <w:name w:val="Light Shading - Accent 13"/>
    <w:basedOn w:val="TableNormal"/>
    <w:next w:val="LightShading-Accent1"/>
    <w:uiPriority w:val="60"/>
    <w:rsid w:val="00983C95"/>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983C95"/>
  </w:style>
  <w:style w:type="table" w:customStyle="1" w:styleId="TableGrid300">
    <w:name w:val="Table Grid30"/>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983C9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983C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983C95"/>
  </w:style>
  <w:style w:type="numbering" w:customStyle="1" w:styleId="1ai625">
    <w:name w:val="1 / a / i625"/>
    <w:basedOn w:val="NoList"/>
    <w:next w:val="NoList"/>
    <w:rsid w:val="00983C95"/>
  </w:style>
  <w:style w:type="numbering" w:customStyle="1" w:styleId="111111635">
    <w:name w:val="1 / 1.1 / 1.1.1635"/>
    <w:basedOn w:val="NoList"/>
    <w:next w:val="NoList"/>
    <w:rsid w:val="00983C95"/>
  </w:style>
  <w:style w:type="numbering" w:customStyle="1" w:styleId="ImportierterStil125">
    <w:name w:val="Importierter Stil: 125"/>
    <w:rsid w:val="00983C95"/>
  </w:style>
  <w:style w:type="numbering" w:customStyle="1" w:styleId="List05115">
    <w:name w:val="List 05115"/>
    <w:basedOn w:val="NoList"/>
    <w:rsid w:val="00983C95"/>
  </w:style>
  <w:style w:type="numbering" w:customStyle="1" w:styleId="ImportierterStil1115">
    <w:name w:val="Importierter Stil: 1115"/>
    <w:rsid w:val="00983C95"/>
  </w:style>
  <w:style w:type="table" w:customStyle="1" w:styleId="TableGrid1814">
    <w:name w:val="Table Grid1814"/>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983C95"/>
  </w:style>
  <w:style w:type="numbering" w:customStyle="1" w:styleId="ImportedStyle42533">
    <w:name w:val="Imported Style 42533"/>
    <w:rsid w:val="00983C95"/>
  </w:style>
  <w:style w:type="numbering" w:customStyle="1" w:styleId="ArticleSection2533">
    <w:name w:val="Article / Section2533"/>
    <w:basedOn w:val="NoList"/>
    <w:next w:val="NoList"/>
    <w:rsid w:val="00983C95"/>
  </w:style>
  <w:style w:type="numbering" w:customStyle="1" w:styleId="1ai2533">
    <w:name w:val="1 / a / i2533"/>
    <w:basedOn w:val="NoList"/>
    <w:next w:val="NoList"/>
    <w:rsid w:val="00983C95"/>
  </w:style>
  <w:style w:type="numbering" w:customStyle="1" w:styleId="1111112533">
    <w:name w:val="1 / 1.1 / 1.1.12533"/>
    <w:basedOn w:val="NoList"/>
    <w:next w:val="NoList"/>
    <w:rsid w:val="00983C95"/>
  </w:style>
  <w:style w:type="numbering" w:customStyle="1" w:styleId="List01533">
    <w:name w:val="List 01533"/>
    <w:basedOn w:val="NoList"/>
    <w:rsid w:val="00983C95"/>
  </w:style>
  <w:style w:type="numbering" w:customStyle="1" w:styleId="List0131133">
    <w:name w:val="List 0131133"/>
    <w:basedOn w:val="NoList"/>
    <w:rsid w:val="00983C95"/>
  </w:style>
  <w:style w:type="numbering" w:customStyle="1" w:styleId="ImportedStyle161133">
    <w:name w:val="Imported Style 161133"/>
    <w:rsid w:val="00983C95"/>
  </w:style>
  <w:style w:type="numbering" w:customStyle="1" w:styleId="111111573">
    <w:name w:val="1 / 1.1 / 1.1.1573"/>
    <w:basedOn w:val="NoList"/>
    <w:next w:val="NoList"/>
    <w:rsid w:val="00983C95"/>
  </w:style>
  <w:style w:type="numbering" w:customStyle="1" w:styleId="1ai5163">
    <w:name w:val="1 / a / i5163"/>
    <w:basedOn w:val="NoList"/>
    <w:next w:val="NoList"/>
    <w:rsid w:val="00983C95"/>
  </w:style>
  <w:style w:type="numbering" w:customStyle="1" w:styleId="1111115163">
    <w:name w:val="1 / 1.1 / 1.1.15163"/>
    <w:basedOn w:val="NoList"/>
    <w:next w:val="NoList"/>
    <w:rsid w:val="00983C95"/>
  </w:style>
  <w:style w:type="numbering" w:customStyle="1" w:styleId="List04163">
    <w:name w:val="List 04163"/>
    <w:basedOn w:val="NoList"/>
    <w:rsid w:val="00983C95"/>
  </w:style>
  <w:style w:type="numbering" w:customStyle="1" w:styleId="List215163">
    <w:name w:val="List 215163"/>
    <w:basedOn w:val="NoList"/>
    <w:rsid w:val="00983C95"/>
  </w:style>
  <w:style w:type="numbering" w:customStyle="1" w:styleId="1111117163">
    <w:name w:val="1 / 1.1 / 1.1.17163"/>
    <w:basedOn w:val="NoList"/>
    <w:next w:val="NoList"/>
    <w:rsid w:val="00983C95"/>
  </w:style>
  <w:style w:type="numbering" w:customStyle="1" w:styleId="ImportedStyle1863">
    <w:name w:val="Imported Style 1863"/>
    <w:rsid w:val="00983C95"/>
  </w:style>
  <w:style w:type="numbering" w:customStyle="1" w:styleId="List21763">
    <w:name w:val="List 21763"/>
    <w:basedOn w:val="NoList"/>
    <w:rsid w:val="00983C95"/>
  </w:style>
  <w:style w:type="numbering" w:customStyle="1" w:styleId="ImportedStyle42543">
    <w:name w:val="Imported Style 42543"/>
    <w:rsid w:val="00983C95"/>
  </w:style>
  <w:style w:type="numbering" w:customStyle="1" w:styleId="ArticleSection2544">
    <w:name w:val="Article / Section2544"/>
    <w:basedOn w:val="NoList"/>
    <w:next w:val="NoList"/>
    <w:rsid w:val="00983C95"/>
  </w:style>
  <w:style w:type="numbering" w:customStyle="1" w:styleId="1ai2543">
    <w:name w:val="1 / a / i2543"/>
    <w:basedOn w:val="NoList"/>
    <w:next w:val="NoList"/>
    <w:rsid w:val="00983C95"/>
  </w:style>
  <w:style w:type="numbering" w:customStyle="1" w:styleId="1111112543">
    <w:name w:val="1 / 1.1 / 1.1.12543"/>
    <w:basedOn w:val="NoList"/>
    <w:next w:val="NoList"/>
    <w:rsid w:val="00983C95"/>
  </w:style>
  <w:style w:type="numbering" w:customStyle="1" w:styleId="List01544">
    <w:name w:val="List 01544"/>
    <w:basedOn w:val="NoList"/>
    <w:rsid w:val="00983C95"/>
  </w:style>
  <w:style w:type="numbering" w:customStyle="1" w:styleId="List11544">
    <w:name w:val="List 11544"/>
    <w:basedOn w:val="NoList"/>
    <w:rsid w:val="00983C95"/>
  </w:style>
  <w:style w:type="numbering" w:customStyle="1" w:styleId="List211544">
    <w:name w:val="List 211544"/>
    <w:basedOn w:val="NoList"/>
    <w:rsid w:val="00983C95"/>
  </w:style>
  <w:style w:type="numbering" w:customStyle="1" w:styleId="1111115253">
    <w:name w:val="1 / 1.1 / 1.1.15253"/>
    <w:basedOn w:val="NoList"/>
    <w:next w:val="NoList"/>
    <w:rsid w:val="00983C95"/>
  </w:style>
  <w:style w:type="numbering" w:customStyle="1" w:styleId="ImportedStyle423243">
    <w:name w:val="Imported Style 423243"/>
    <w:rsid w:val="00983C95"/>
  </w:style>
  <w:style w:type="numbering" w:customStyle="1" w:styleId="ImportedStyle523243">
    <w:name w:val="Imported Style 523243"/>
    <w:rsid w:val="00983C95"/>
  </w:style>
  <w:style w:type="numbering" w:customStyle="1" w:styleId="ArticleSection23244">
    <w:name w:val="Article / Section23244"/>
    <w:basedOn w:val="NoList"/>
    <w:next w:val="NoList"/>
    <w:rsid w:val="00983C95"/>
  </w:style>
  <w:style w:type="numbering" w:customStyle="1" w:styleId="ImportedStyle46244">
    <w:name w:val="Imported Style 46244"/>
    <w:rsid w:val="00983C95"/>
  </w:style>
  <w:style w:type="numbering" w:customStyle="1" w:styleId="ImportedStyle56244">
    <w:name w:val="Imported Style 56244"/>
    <w:rsid w:val="00983C95"/>
  </w:style>
  <w:style w:type="numbering" w:customStyle="1" w:styleId="ImportedStyle16244">
    <w:name w:val="Imported Style 16244"/>
    <w:rsid w:val="00983C95"/>
  </w:style>
  <w:style w:type="numbering" w:customStyle="1" w:styleId="ArticleSection6244">
    <w:name w:val="Article / Section6244"/>
    <w:basedOn w:val="NoList"/>
    <w:next w:val="NoList"/>
    <w:rsid w:val="00983C95"/>
  </w:style>
  <w:style w:type="numbering" w:customStyle="1" w:styleId="1ai6243">
    <w:name w:val="1 / a / i6243"/>
    <w:basedOn w:val="NoList"/>
    <w:next w:val="NoList"/>
    <w:rsid w:val="00983C95"/>
  </w:style>
  <w:style w:type="numbering" w:customStyle="1" w:styleId="1111116343">
    <w:name w:val="1 / 1.1 / 1.1.16343"/>
    <w:basedOn w:val="NoList"/>
    <w:next w:val="NoList"/>
    <w:rsid w:val="00983C95"/>
  </w:style>
  <w:style w:type="numbering" w:customStyle="1" w:styleId="ImportierterStil1244">
    <w:name w:val="Importierter Stil: 1244"/>
    <w:rsid w:val="00983C95"/>
  </w:style>
  <w:style w:type="numbering" w:customStyle="1" w:styleId="1ai51153">
    <w:name w:val="1 / a / i51153"/>
    <w:basedOn w:val="NoList"/>
    <w:next w:val="NoList"/>
    <w:rsid w:val="00983C95"/>
  </w:style>
  <w:style w:type="numbering" w:customStyle="1" w:styleId="11111151153">
    <w:name w:val="1 / 1.1 / 1.1.151153"/>
    <w:basedOn w:val="NoList"/>
    <w:next w:val="NoList"/>
    <w:rsid w:val="00983C95"/>
  </w:style>
  <w:style w:type="numbering" w:customStyle="1" w:styleId="List041153">
    <w:name w:val="List 041153"/>
    <w:basedOn w:val="NoList"/>
    <w:rsid w:val="00983C95"/>
  </w:style>
  <w:style w:type="numbering" w:customStyle="1" w:styleId="List141143">
    <w:name w:val="List 141143"/>
    <w:basedOn w:val="NoList"/>
    <w:rsid w:val="00983C95"/>
  </w:style>
  <w:style w:type="numbering" w:customStyle="1" w:styleId="List2141143">
    <w:name w:val="List 2141143"/>
    <w:basedOn w:val="NoList"/>
    <w:rsid w:val="00983C95"/>
  </w:style>
  <w:style w:type="numbering" w:customStyle="1" w:styleId="ImportedStyle4231143">
    <w:name w:val="Imported Style 4231143"/>
    <w:rsid w:val="00983C95"/>
  </w:style>
  <w:style w:type="numbering" w:customStyle="1" w:styleId="List0131143">
    <w:name w:val="List 0131143"/>
    <w:basedOn w:val="NoList"/>
    <w:rsid w:val="00983C95"/>
  </w:style>
  <w:style w:type="numbering" w:customStyle="1" w:styleId="ImportedStyle161143">
    <w:name w:val="Imported Style 161143"/>
    <w:rsid w:val="00983C95"/>
  </w:style>
  <w:style w:type="numbering" w:customStyle="1" w:styleId="List051143">
    <w:name w:val="List 051143"/>
    <w:basedOn w:val="NoList"/>
    <w:rsid w:val="00983C95"/>
  </w:style>
  <w:style w:type="numbering" w:customStyle="1" w:styleId="List2151153">
    <w:name w:val="List 2151153"/>
    <w:basedOn w:val="NoList"/>
    <w:rsid w:val="00983C95"/>
  </w:style>
  <w:style w:type="numbering" w:customStyle="1" w:styleId="ImportierterStil11143">
    <w:name w:val="Importierter Stil: 11143"/>
    <w:rsid w:val="00983C95"/>
  </w:style>
  <w:style w:type="numbering" w:customStyle="1" w:styleId="11111171153">
    <w:name w:val="1 / 1.1 / 1.1.171153"/>
    <w:basedOn w:val="NoList"/>
    <w:next w:val="NoList"/>
    <w:rsid w:val="00983C95"/>
  </w:style>
  <w:style w:type="numbering" w:customStyle="1" w:styleId="ImportedStyle48143">
    <w:name w:val="Imported Style 48143"/>
    <w:rsid w:val="00983C95"/>
  </w:style>
  <w:style w:type="numbering" w:customStyle="1" w:styleId="ImportedStyle58143">
    <w:name w:val="Imported Style 58143"/>
    <w:rsid w:val="00983C95"/>
  </w:style>
  <w:style w:type="numbering" w:customStyle="1" w:styleId="ImportedStyle18153">
    <w:name w:val="Imported Style 18153"/>
    <w:rsid w:val="00983C95"/>
  </w:style>
  <w:style w:type="numbering" w:customStyle="1" w:styleId="ArticleSection8143">
    <w:name w:val="Article / Section8143"/>
    <w:basedOn w:val="NoList"/>
    <w:next w:val="NoList"/>
    <w:rsid w:val="00983C95"/>
  </w:style>
  <w:style w:type="numbering" w:customStyle="1" w:styleId="1ai8143">
    <w:name w:val="1 / a / i8143"/>
    <w:basedOn w:val="NoList"/>
    <w:next w:val="NoList"/>
    <w:rsid w:val="00983C95"/>
  </w:style>
  <w:style w:type="numbering" w:customStyle="1" w:styleId="List07143">
    <w:name w:val="List 07143"/>
    <w:basedOn w:val="NoList"/>
    <w:rsid w:val="00983C95"/>
  </w:style>
  <w:style w:type="numbering" w:customStyle="1" w:styleId="List17143">
    <w:name w:val="List 17143"/>
    <w:basedOn w:val="NoList"/>
    <w:rsid w:val="00983C95"/>
  </w:style>
  <w:style w:type="numbering" w:customStyle="1" w:styleId="List217153">
    <w:name w:val="List 217153"/>
    <w:basedOn w:val="NoList"/>
    <w:rsid w:val="00983C95"/>
  </w:style>
  <w:style w:type="numbering" w:customStyle="1" w:styleId="11111162143">
    <w:name w:val="1 / 1.1 / 1.1.162143"/>
    <w:basedOn w:val="NoList"/>
    <w:next w:val="NoList"/>
    <w:rsid w:val="00983C95"/>
  </w:style>
  <w:style w:type="table" w:customStyle="1" w:styleId="TableGrid340">
    <w:name w:val="Table Grid34"/>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983C95"/>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983C95"/>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983C95"/>
    <w:pPr>
      <w:numPr>
        <w:numId w:val="60"/>
      </w:numPr>
    </w:pPr>
  </w:style>
  <w:style w:type="numbering" w:customStyle="1" w:styleId="1ai626">
    <w:name w:val="1 / a / i626"/>
    <w:basedOn w:val="NoList"/>
    <w:next w:val="NoList"/>
    <w:rsid w:val="00983C95"/>
    <w:pPr>
      <w:numPr>
        <w:numId w:val="59"/>
      </w:numPr>
    </w:pPr>
  </w:style>
  <w:style w:type="numbering" w:customStyle="1" w:styleId="111111636">
    <w:name w:val="1 / 1.1 / 1.1.1636"/>
    <w:basedOn w:val="NoList"/>
    <w:next w:val="NoList"/>
    <w:rsid w:val="00983C95"/>
    <w:pPr>
      <w:numPr>
        <w:numId w:val="58"/>
      </w:numPr>
    </w:pPr>
  </w:style>
  <w:style w:type="numbering" w:customStyle="1" w:styleId="ImportierterStil126">
    <w:name w:val="Importierter Stil: 126"/>
    <w:rsid w:val="00983C95"/>
    <w:pPr>
      <w:numPr>
        <w:numId w:val="61"/>
      </w:numPr>
    </w:pPr>
  </w:style>
  <w:style w:type="numbering" w:customStyle="1" w:styleId="List05116">
    <w:name w:val="List 05116"/>
    <w:basedOn w:val="NoList"/>
    <w:rsid w:val="00983C95"/>
    <w:pPr>
      <w:numPr>
        <w:numId w:val="62"/>
      </w:numPr>
    </w:pPr>
  </w:style>
  <w:style w:type="numbering" w:customStyle="1" w:styleId="ImportierterStil1116">
    <w:name w:val="Importierter Stil: 1116"/>
    <w:rsid w:val="00983C95"/>
    <w:pPr>
      <w:numPr>
        <w:numId w:val="63"/>
      </w:numPr>
    </w:pPr>
  </w:style>
  <w:style w:type="table" w:customStyle="1" w:styleId="TableGrid1815">
    <w:name w:val="Table Grid1815"/>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983C95"/>
    <w:pPr>
      <w:numPr>
        <w:numId w:val="6"/>
      </w:numPr>
    </w:pPr>
  </w:style>
  <w:style w:type="numbering" w:customStyle="1" w:styleId="ImportedStyle42534">
    <w:name w:val="Imported Style 42534"/>
    <w:rsid w:val="00983C95"/>
    <w:pPr>
      <w:numPr>
        <w:numId w:val="3"/>
      </w:numPr>
    </w:pPr>
  </w:style>
  <w:style w:type="numbering" w:customStyle="1" w:styleId="ArticleSection2534">
    <w:name w:val="Article / Section2534"/>
    <w:basedOn w:val="NoList"/>
    <w:next w:val="NoList"/>
    <w:rsid w:val="00983C95"/>
    <w:pPr>
      <w:numPr>
        <w:numId w:val="9"/>
      </w:numPr>
    </w:pPr>
  </w:style>
  <w:style w:type="numbering" w:customStyle="1" w:styleId="1ai2534">
    <w:name w:val="1 / a / i2534"/>
    <w:basedOn w:val="NoList"/>
    <w:next w:val="NoList"/>
    <w:rsid w:val="00983C95"/>
    <w:pPr>
      <w:numPr>
        <w:numId w:val="8"/>
      </w:numPr>
    </w:pPr>
  </w:style>
  <w:style w:type="numbering" w:customStyle="1" w:styleId="1111112534">
    <w:name w:val="1 / 1.1 / 1.1.12534"/>
    <w:basedOn w:val="NoList"/>
    <w:next w:val="NoList"/>
    <w:rsid w:val="00983C95"/>
    <w:pPr>
      <w:numPr>
        <w:numId w:val="7"/>
      </w:numPr>
    </w:pPr>
  </w:style>
  <w:style w:type="numbering" w:customStyle="1" w:styleId="List01534">
    <w:name w:val="List 01534"/>
    <w:basedOn w:val="NoList"/>
    <w:rsid w:val="00983C95"/>
    <w:pPr>
      <w:numPr>
        <w:numId w:val="10"/>
      </w:numPr>
    </w:pPr>
  </w:style>
  <w:style w:type="numbering" w:customStyle="1" w:styleId="List0131134">
    <w:name w:val="List 0131134"/>
    <w:basedOn w:val="NoList"/>
    <w:rsid w:val="00983C95"/>
    <w:pPr>
      <w:numPr>
        <w:numId w:val="4"/>
      </w:numPr>
    </w:pPr>
  </w:style>
  <w:style w:type="numbering" w:customStyle="1" w:styleId="ImportedStyle161134">
    <w:name w:val="Imported Style 161134"/>
    <w:rsid w:val="00983C95"/>
    <w:pPr>
      <w:numPr>
        <w:numId w:val="5"/>
      </w:numPr>
    </w:pPr>
  </w:style>
  <w:style w:type="numbering" w:customStyle="1" w:styleId="111111574">
    <w:name w:val="1 / 1.1 / 1.1.1574"/>
    <w:basedOn w:val="NoList"/>
    <w:next w:val="NoList"/>
    <w:rsid w:val="00983C95"/>
    <w:pPr>
      <w:numPr>
        <w:numId w:val="23"/>
      </w:numPr>
    </w:pPr>
  </w:style>
  <w:style w:type="numbering" w:customStyle="1" w:styleId="1ai5164">
    <w:name w:val="1 / a / i5164"/>
    <w:basedOn w:val="NoList"/>
    <w:next w:val="NoList"/>
    <w:rsid w:val="00983C95"/>
    <w:pPr>
      <w:numPr>
        <w:numId w:val="25"/>
      </w:numPr>
    </w:pPr>
  </w:style>
  <w:style w:type="numbering" w:customStyle="1" w:styleId="1111115164">
    <w:name w:val="1 / 1.1 / 1.1.15164"/>
    <w:basedOn w:val="NoList"/>
    <w:next w:val="NoList"/>
    <w:rsid w:val="00983C95"/>
    <w:pPr>
      <w:numPr>
        <w:numId w:val="24"/>
      </w:numPr>
    </w:pPr>
  </w:style>
  <w:style w:type="numbering" w:customStyle="1" w:styleId="List04164">
    <w:name w:val="List 04164"/>
    <w:basedOn w:val="NoList"/>
    <w:rsid w:val="00983C95"/>
    <w:pPr>
      <w:numPr>
        <w:numId w:val="27"/>
      </w:numPr>
    </w:pPr>
  </w:style>
  <w:style w:type="numbering" w:customStyle="1" w:styleId="List215164">
    <w:name w:val="List 215164"/>
    <w:basedOn w:val="NoList"/>
    <w:rsid w:val="00983C95"/>
    <w:pPr>
      <w:numPr>
        <w:numId w:val="22"/>
      </w:numPr>
    </w:pPr>
  </w:style>
  <w:style w:type="numbering" w:customStyle="1" w:styleId="1111117164">
    <w:name w:val="1 / 1.1 / 1.1.17164"/>
    <w:basedOn w:val="NoList"/>
    <w:next w:val="NoList"/>
    <w:rsid w:val="00983C95"/>
    <w:pPr>
      <w:numPr>
        <w:numId w:val="26"/>
      </w:numPr>
    </w:pPr>
  </w:style>
  <w:style w:type="numbering" w:customStyle="1" w:styleId="ImportedStyle1864">
    <w:name w:val="Imported Style 1864"/>
    <w:rsid w:val="00983C95"/>
    <w:pPr>
      <w:numPr>
        <w:numId w:val="14"/>
      </w:numPr>
    </w:pPr>
  </w:style>
  <w:style w:type="numbering" w:customStyle="1" w:styleId="List21764">
    <w:name w:val="List 21764"/>
    <w:basedOn w:val="NoList"/>
    <w:rsid w:val="00983C95"/>
    <w:pPr>
      <w:numPr>
        <w:numId w:val="21"/>
      </w:numPr>
    </w:pPr>
  </w:style>
  <w:style w:type="numbering" w:customStyle="1" w:styleId="ImportedStyle42544">
    <w:name w:val="Imported Style 42544"/>
    <w:rsid w:val="00983C95"/>
    <w:pPr>
      <w:numPr>
        <w:numId w:val="11"/>
      </w:numPr>
    </w:pPr>
  </w:style>
  <w:style w:type="numbering" w:customStyle="1" w:styleId="ArticleSection2545">
    <w:name w:val="Article / Section2545"/>
    <w:basedOn w:val="NoList"/>
    <w:next w:val="NoList"/>
    <w:rsid w:val="00983C95"/>
    <w:pPr>
      <w:numPr>
        <w:numId w:val="17"/>
      </w:numPr>
    </w:pPr>
  </w:style>
  <w:style w:type="numbering" w:customStyle="1" w:styleId="1ai2544">
    <w:name w:val="1 / a / i2544"/>
    <w:basedOn w:val="NoList"/>
    <w:next w:val="NoList"/>
    <w:rsid w:val="00983C95"/>
    <w:pPr>
      <w:numPr>
        <w:numId w:val="16"/>
      </w:numPr>
    </w:pPr>
  </w:style>
  <w:style w:type="numbering" w:customStyle="1" w:styleId="1111112544">
    <w:name w:val="1 / 1.1 / 1.1.12544"/>
    <w:basedOn w:val="NoList"/>
    <w:next w:val="NoList"/>
    <w:rsid w:val="00983C95"/>
    <w:pPr>
      <w:numPr>
        <w:numId w:val="15"/>
      </w:numPr>
    </w:pPr>
  </w:style>
  <w:style w:type="numbering" w:customStyle="1" w:styleId="List01545">
    <w:name w:val="List 01545"/>
    <w:basedOn w:val="NoList"/>
    <w:rsid w:val="00983C95"/>
    <w:pPr>
      <w:numPr>
        <w:numId w:val="18"/>
      </w:numPr>
    </w:pPr>
  </w:style>
  <w:style w:type="numbering" w:customStyle="1" w:styleId="List11545">
    <w:name w:val="List 11545"/>
    <w:basedOn w:val="NoList"/>
    <w:rsid w:val="00983C95"/>
    <w:pPr>
      <w:numPr>
        <w:numId w:val="19"/>
      </w:numPr>
    </w:pPr>
  </w:style>
  <w:style w:type="numbering" w:customStyle="1" w:styleId="List211545">
    <w:name w:val="List 211545"/>
    <w:basedOn w:val="NoList"/>
    <w:rsid w:val="00983C95"/>
    <w:pPr>
      <w:numPr>
        <w:numId w:val="20"/>
      </w:numPr>
    </w:pPr>
  </w:style>
  <w:style w:type="numbering" w:customStyle="1" w:styleId="1111115254">
    <w:name w:val="1 / 1.1 / 1.1.15254"/>
    <w:basedOn w:val="NoList"/>
    <w:next w:val="NoList"/>
    <w:rsid w:val="00983C95"/>
    <w:pPr>
      <w:numPr>
        <w:numId w:val="39"/>
      </w:numPr>
    </w:pPr>
  </w:style>
  <w:style w:type="numbering" w:customStyle="1" w:styleId="ImportedStyle423244">
    <w:name w:val="Imported Style 423244"/>
    <w:rsid w:val="00983C95"/>
    <w:pPr>
      <w:numPr>
        <w:numId w:val="46"/>
      </w:numPr>
    </w:pPr>
  </w:style>
  <w:style w:type="numbering" w:customStyle="1" w:styleId="ImportedStyle523244">
    <w:name w:val="Imported Style 523244"/>
    <w:rsid w:val="00983C95"/>
    <w:pPr>
      <w:numPr>
        <w:numId w:val="47"/>
      </w:numPr>
    </w:pPr>
  </w:style>
  <w:style w:type="numbering" w:customStyle="1" w:styleId="ArticleSection23245">
    <w:name w:val="Article / Section23245"/>
    <w:basedOn w:val="NoList"/>
    <w:next w:val="NoList"/>
    <w:rsid w:val="00983C95"/>
    <w:pPr>
      <w:numPr>
        <w:numId w:val="51"/>
      </w:numPr>
    </w:pPr>
  </w:style>
  <w:style w:type="numbering" w:customStyle="1" w:styleId="ImportedStyle46245">
    <w:name w:val="Imported Style 46245"/>
    <w:rsid w:val="00983C95"/>
    <w:pPr>
      <w:numPr>
        <w:numId w:val="48"/>
      </w:numPr>
    </w:pPr>
  </w:style>
  <w:style w:type="numbering" w:customStyle="1" w:styleId="ImportedStyle56245">
    <w:name w:val="Imported Style 56245"/>
    <w:rsid w:val="00983C95"/>
    <w:pPr>
      <w:numPr>
        <w:numId w:val="49"/>
      </w:numPr>
    </w:pPr>
  </w:style>
  <w:style w:type="numbering" w:customStyle="1" w:styleId="ImportedStyle16245">
    <w:name w:val="Imported Style 16245"/>
    <w:rsid w:val="00983C95"/>
    <w:pPr>
      <w:numPr>
        <w:numId w:val="50"/>
      </w:numPr>
    </w:pPr>
  </w:style>
  <w:style w:type="numbering" w:customStyle="1" w:styleId="ArticleSection6245">
    <w:name w:val="Article / Section6245"/>
    <w:basedOn w:val="NoList"/>
    <w:next w:val="NoList"/>
    <w:rsid w:val="00983C95"/>
    <w:pPr>
      <w:numPr>
        <w:numId w:val="54"/>
      </w:numPr>
    </w:pPr>
  </w:style>
  <w:style w:type="numbering" w:customStyle="1" w:styleId="1ai6244">
    <w:name w:val="1 / a / i6244"/>
    <w:basedOn w:val="NoList"/>
    <w:next w:val="NoList"/>
    <w:rsid w:val="00983C95"/>
    <w:pPr>
      <w:numPr>
        <w:numId w:val="53"/>
      </w:numPr>
    </w:pPr>
  </w:style>
  <w:style w:type="numbering" w:customStyle="1" w:styleId="1111116344">
    <w:name w:val="1 / 1.1 / 1.1.16344"/>
    <w:basedOn w:val="NoList"/>
    <w:next w:val="NoList"/>
    <w:rsid w:val="00983C95"/>
    <w:pPr>
      <w:numPr>
        <w:numId w:val="52"/>
      </w:numPr>
    </w:pPr>
  </w:style>
  <w:style w:type="numbering" w:customStyle="1" w:styleId="ImportierterStil1245">
    <w:name w:val="Importierter Stil: 1245"/>
    <w:rsid w:val="00983C95"/>
    <w:pPr>
      <w:numPr>
        <w:numId w:val="55"/>
      </w:numPr>
    </w:pPr>
  </w:style>
  <w:style w:type="numbering" w:customStyle="1" w:styleId="1ai51154">
    <w:name w:val="1 / a / i51154"/>
    <w:basedOn w:val="NoList"/>
    <w:next w:val="NoList"/>
    <w:rsid w:val="00983C95"/>
    <w:pPr>
      <w:numPr>
        <w:numId w:val="41"/>
      </w:numPr>
    </w:pPr>
  </w:style>
  <w:style w:type="numbering" w:customStyle="1" w:styleId="11111151154">
    <w:name w:val="1 / 1.1 / 1.1.151154"/>
    <w:basedOn w:val="NoList"/>
    <w:next w:val="NoList"/>
    <w:rsid w:val="00983C95"/>
    <w:pPr>
      <w:numPr>
        <w:numId w:val="40"/>
      </w:numPr>
    </w:pPr>
  </w:style>
  <w:style w:type="numbering" w:customStyle="1" w:styleId="List041154">
    <w:name w:val="List 041154"/>
    <w:basedOn w:val="NoList"/>
    <w:rsid w:val="00983C95"/>
    <w:pPr>
      <w:numPr>
        <w:numId w:val="43"/>
      </w:numPr>
    </w:pPr>
  </w:style>
  <w:style w:type="numbering" w:customStyle="1" w:styleId="List141144">
    <w:name w:val="List 141144"/>
    <w:basedOn w:val="NoList"/>
    <w:rsid w:val="00983C95"/>
    <w:pPr>
      <w:numPr>
        <w:numId w:val="44"/>
      </w:numPr>
    </w:pPr>
  </w:style>
  <w:style w:type="numbering" w:customStyle="1" w:styleId="List2141144">
    <w:name w:val="List 2141144"/>
    <w:basedOn w:val="NoList"/>
    <w:rsid w:val="00983C95"/>
    <w:pPr>
      <w:numPr>
        <w:numId w:val="45"/>
      </w:numPr>
    </w:pPr>
  </w:style>
  <w:style w:type="numbering" w:customStyle="1" w:styleId="ImportedStyle4231144">
    <w:name w:val="Imported Style 4231144"/>
    <w:rsid w:val="00983C95"/>
    <w:pPr>
      <w:numPr>
        <w:numId w:val="28"/>
      </w:numPr>
    </w:pPr>
  </w:style>
  <w:style w:type="numbering" w:customStyle="1" w:styleId="List0131144">
    <w:name w:val="List 0131144"/>
    <w:basedOn w:val="NoList"/>
    <w:rsid w:val="00983C95"/>
    <w:pPr>
      <w:numPr>
        <w:numId w:val="12"/>
      </w:numPr>
    </w:pPr>
  </w:style>
  <w:style w:type="numbering" w:customStyle="1" w:styleId="ImportedStyle161144">
    <w:name w:val="Imported Style 161144"/>
    <w:rsid w:val="00983C95"/>
    <w:pPr>
      <w:numPr>
        <w:numId w:val="13"/>
      </w:numPr>
    </w:pPr>
  </w:style>
  <w:style w:type="numbering" w:customStyle="1" w:styleId="List051144">
    <w:name w:val="List 051144"/>
    <w:basedOn w:val="NoList"/>
    <w:rsid w:val="00983C95"/>
    <w:pPr>
      <w:numPr>
        <w:numId w:val="56"/>
      </w:numPr>
    </w:pPr>
  </w:style>
  <w:style w:type="numbering" w:customStyle="1" w:styleId="List2151154">
    <w:name w:val="List 2151154"/>
    <w:basedOn w:val="NoList"/>
    <w:rsid w:val="00983C95"/>
    <w:pPr>
      <w:numPr>
        <w:numId w:val="38"/>
      </w:numPr>
    </w:pPr>
  </w:style>
  <w:style w:type="numbering" w:customStyle="1" w:styleId="ImportierterStil11144">
    <w:name w:val="Importierter Stil: 11144"/>
    <w:rsid w:val="00983C95"/>
    <w:pPr>
      <w:numPr>
        <w:numId w:val="57"/>
      </w:numPr>
    </w:pPr>
  </w:style>
  <w:style w:type="numbering" w:customStyle="1" w:styleId="11111171154">
    <w:name w:val="1 / 1.1 / 1.1.171154"/>
    <w:basedOn w:val="NoList"/>
    <w:next w:val="NoList"/>
    <w:rsid w:val="00983C95"/>
    <w:pPr>
      <w:numPr>
        <w:numId w:val="42"/>
      </w:numPr>
    </w:pPr>
  </w:style>
  <w:style w:type="numbering" w:customStyle="1" w:styleId="ImportedStyle48144">
    <w:name w:val="Imported Style 48144"/>
    <w:rsid w:val="00983C95"/>
    <w:pPr>
      <w:numPr>
        <w:numId w:val="29"/>
      </w:numPr>
    </w:pPr>
  </w:style>
  <w:style w:type="numbering" w:customStyle="1" w:styleId="ImportedStyle58144">
    <w:name w:val="Imported Style 58144"/>
    <w:rsid w:val="00983C95"/>
    <w:pPr>
      <w:numPr>
        <w:numId w:val="30"/>
      </w:numPr>
    </w:pPr>
  </w:style>
  <w:style w:type="numbering" w:customStyle="1" w:styleId="ImportedStyle18154">
    <w:name w:val="Imported Style 18154"/>
    <w:rsid w:val="00983C95"/>
    <w:pPr>
      <w:numPr>
        <w:numId w:val="31"/>
      </w:numPr>
    </w:pPr>
  </w:style>
  <w:style w:type="numbering" w:customStyle="1" w:styleId="ArticleSection8144">
    <w:name w:val="Article / Section8144"/>
    <w:basedOn w:val="NoList"/>
    <w:next w:val="NoList"/>
    <w:rsid w:val="00983C95"/>
    <w:pPr>
      <w:numPr>
        <w:numId w:val="34"/>
      </w:numPr>
    </w:pPr>
  </w:style>
  <w:style w:type="numbering" w:customStyle="1" w:styleId="1ai8144">
    <w:name w:val="1 / a / i8144"/>
    <w:basedOn w:val="NoList"/>
    <w:next w:val="NoList"/>
    <w:rsid w:val="00983C95"/>
    <w:pPr>
      <w:numPr>
        <w:numId w:val="33"/>
      </w:numPr>
    </w:pPr>
  </w:style>
  <w:style w:type="numbering" w:customStyle="1" w:styleId="List07144">
    <w:name w:val="List 07144"/>
    <w:basedOn w:val="NoList"/>
    <w:rsid w:val="00983C95"/>
    <w:pPr>
      <w:numPr>
        <w:numId w:val="35"/>
      </w:numPr>
    </w:pPr>
  </w:style>
  <w:style w:type="numbering" w:customStyle="1" w:styleId="List17144">
    <w:name w:val="List 17144"/>
    <w:basedOn w:val="NoList"/>
    <w:rsid w:val="00983C95"/>
    <w:pPr>
      <w:numPr>
        <w:numId w:val="36"/>
      </w:numPr>
    </w:pPr>
  </w:style>
  <w:style w:type="numbering" w:customStyle="1" w:styleId="List217154">
    <w:name w:val="List 217154"/>
    <w:basedOn w:val="NoList"/>
    <w:rsid w:val="00983C95"/>
    <w:pPr>
      <w:numPr>
        <w:numId w:val="37"/>
      </w:numPr>
    </w:pPr>
  </w:style>
  <w:style w:type="numbering" w:customStyle="1" w:styleId="11111162144">
    <w:name w:val="1 / 1.1 / 1.1.162144"/>
    <w:basedOn w:val="NoList"/>
    <w:next w:val="NoList"/>
    <w:rsid w:val="00983C95"/>
    <w:pPr>
      <w:numPr>
        <w:numId w:val="32"/>
      </w:numPr>
    </w:pPr>
  </w:style>
  <w:style w:type="table" w:customStyle="1" w:styleId="TableGrid35">
    <w:name w:val="Table Grid35"/>
    <w:basedOn w:val="TableNormal"/>
    <w:next w:val="TableGrid"/>
    <w:uiPriority w:val="59"/>
    <w:rsid w:val="00983C9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983C95"/>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983C95"/>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983C95"/>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983C9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983C9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983C9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983C9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983C95"/>
  </w:style>
  <w:style w:type="numbering" w:customStyle="1" w:styleId="1ai627">
    <w:name w:val="1 / a / i627"/>
    <w:basedOn w:val="NoList"/>
    <w:next w:val="NoList"/>
    <w:rsid w:val="00983C95"/>
  </w:style>
  <w:style w:type="numbering" w:customStyle="1" w:styleId="111111637">
    <w:name w:val="1 / 1.1 / 1.1.1637"/>
    <w:basedOn w:val="NoList"/>
    <w:next w:val="NoList"/>
    <w:rsid w:val="00983C95"/>
  </w:style>
  <w:style w:type="numbering" w:customStyle="1" w:styleId="ImportierterStil127">
    <w:name w:val="Importierter Stil: 127"/>
    <w:rsid w:val="00983C95"/>
  </w:style>
  <w:style w:type="numbering" w:customStyle="1" w:styleId="List05117">
    <w:name w:val="List 05117"/>
    <w:basedOn w:val="NoList"/>
    <w:rsid w:val="00983C95"/>
  </w:style>
  <w:style w:type="numbering" w:customStyle="1" w:styleId="ImportierterStil1117">
    <w:name w:val="Importierter Stil: 1117"/>
    <w:rsid w:val="00983C95"/>
  </w:style>
  <w:style w:type="table" w:customStyle="1" w:styleId="TableGrid1816">
    <w:name w:val="Table Grid1816"/>
    <w:basedOn w:val="TableNormal"/>
    <w:next w:val="TableGrid"/>
    <w:uiPriority w:val="39"/>
    <w:rsid w:val="00983C9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983C9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983C95"/>
  </w:style>
  <w:style w:type="numbering" w:customStyle="1" w:styleId="ImportedStyle42535">
    <w:name w:val="Imported Style 42535"/>
    <w:rsid w:val="00983C95"/>
  </w:style>
  <w:style w:type="numbering" w:customStyle="1" w:styleId="ArticleSection2535">
    <w:name w:val="Article / Section2535"/>
    <w:basedOn w:val="NoList"/>
    <w:next w:val="NoList"/>
    <w:rsid w:val="00983C95"/>
  </w:style>
  <w:style w:type="numbering" w:customStyle="1" w:styleId="1ai2535">
    <w:name w:val="1 / a / i2535"/>
    <w:basedOn w:val="NoList"/>
    <w:next w:val="NoList"/>
    <w:rsid w:val="00983C95"/>
  </w:style>
  <w:style w:type="numbering" w:customStyle="1" w:styleId="1111112535">
    <w:name w:val="1 / 1.1 / 1.1.12535"/>
    <w:basedOn w:val="NoList"/>
    <w:next w:val="NoList"/>
    <w:rsid w:val="00983C95"/>
  </w:style>
  <w:style w:type="numbering" w:customStyle="1" w:styleId="List01535">
    <w:name w:val="List 01535"/>
    <w:basedOn w:val="NoList"/>
    <w:rsid w:val="00983C95"/>
  </w:style>
  <w:style w:type="numbering" w:customStyle="1" w:styleId="List0131135">
    <w:name w:val="List 0131135"/>
    <w:basedOn w:val="NoList"/>
    <w:rsid w:val="00983C95"/>
  </w:style>
  <w:style w:type="numbering" w:customStyle="1" w:styleId="ImportedStyle161135">
    <w:name w:val="Imported Style 161135"/>
    <w:rsid w:val="00983C95"/>
  </w:style>
  <w:style w:type="numbering" w:customStyle="1" w:styleId="111111575">
    <w:name w:val="1 / 1.1 / 1.1.1575"/>
    <w:basedOn w:val="NoList"/>
    <w:next w:val="NoList"/>
    <w:rsid w:val="00983C95"/>
  </w:style>
  <w:style w:type="numbering" w:customStyle="1" w:styleId="1ai5165">
    <w:name w:val="1 / a / i5165"/>
    <w:basedOn w:val="NoList"/>
    <w:next w:val="NoList"/>
    <w:rsid w:val="00983C95"/>
  </w:style>
  <w:style w:type="numbering" w:customStyle="1" w:styleId="1111115165">
    <w:name w:val="1 / 1.1 / 1.1.15165"/>
    <w:basedOn w:val="NoList"/>
    <w:next w:val="NoList"/>
    <w:rsid w:val="00983C95"/>
  </w:style>
  <w:style w:type="numbering" w:customStyle="1" w:styleId="List04165">
    <w:name w:val="List 04165"/>
    <w:basedOn w:val="NoList"/>
    <w:rsid w:val="00983C95"/>
  </w:style>
  <w:style w:type="numbering" w:customStyle="1" w:styleId="List215165">
    <w:name w:val="List 215165"/>
    <w:basedOn w:val="NoList"/>
    <w:rsid w:val="00983C95"/>
  </w:style>
  <w:style w:type="numbering" w:customStyle="1" w:styleId="1111117165">
    <w:name w:val="1 / 1.1 / 1.1.17165"/>
    <w:basedOn w:val="NoList"/>
    <w:next w:val="NoList"/>
    <w:rsid w:val="00983C95"/>
  </w:style>
  <w:style w:type="numbering" w:customStyle="1" w:styleId="ImportedStyle1865">
    <w:name w:val="Imported Style 1865"/>
    <w:rsid w:val="00983C95"/>
  </w:style>
  <w:style w:type="numbering" w:customStyle="1" w:styleId="List21765">
    <w:name w:val="List 21765"/>
    <w:basedOn w:val="NoList"/>
    <w:rsid w:val="00983C95"/>
  </w:style>
  <w:style w:type="numbering" w:customStyle="1" w:styleId="ImportedStyle42545">
    <w:name w:val="Imported Style 42545"/>
    <w:rsid w:val="00983C95"/>
  </w:style>
  <w:style w:type="numbering" w:customStyle="1" w:styleId="ArticleSection2546">
    <w:name w:val="Article / Section2546"/>
    <w:basedOn w:val="NoList"/>
    <w:next w:val="NoList"/>
    <w:rsid w:val="00983C95"/>
  </w:style>
  <w:style w:type="numbering" w:customStyle="1" w:styleId="1ai2545">
    <w:name w:val="1 / a / i2545"/>
    <w:basedOn w:val="NoList"/>
    <w:next w:val="NoList"/>
    <w:rsid w:val="00983C95"/>
  </w:style>
  <w:style w:type="numbering" w:customStyle="1" w:styleId="1111112545">
    <w:name w:val="1 / 1.1 / 1.1.12545"/>
    <w:basedOn w:val="NoList"/>
    <w:next w:val="NoList"/>
    <w:rsid w:val="00983C95"/>
  </w:style>
  <w:style w:type="numbering" w:customStyle="1" w:styleId="List01546">
    <w:name w:val="List 01546"/>
    <w:basedOn w:val="NoList"/>
    <w:rsid w:val="00983C95"/>
  </w:style>
  <w:style w:type="numbering" w:customStyle="1" w:styleId="List11546">
    <w:name w:val="List 11546"/>
    <w:basedOn w:val="NoList"/>
    <w:rsid w:val="00983C95"/>
  </w:style>
  <w:style w:type="numbering" w:customStyle="1" w:styleId="List211546">
    <w:name w:val="List 211546"/>
    <w:basedOn w:val="NoList"/>
    <w:rsid w:val="00983C95"/>
  </w:style>
  <w:style w:type="numbering" w:customStyle="1" w:styleId="1111115255">
    <w:name w:val="1 / 1.1 / 1.1.15255"/>
    <w:basedOn w:val="NoList"/>
    <w:next w:val="NoList"/>
    <w:rsid w:val="00983C95"/>
  </w:style>
  <w:style w:type="numbering" w:customStyle="1" w:styleId="ImportedStyle423245">
    <w:name w:val="Imported Style 423245"/>
    <w:rsid w:val="00983C95"/>
  </w:style>
  <w:style w:type="numbering" w:customStyle="1" w:styleId="ImportedStyle523245">
    <w:name w:val="Imported Style 523245"/>
    <w:rsid w:val="00983C95"/>
  </w:style>
  <w:style w:type="numbering" w:customStyle="1" w:styleId="ArticleSection23246">
    <w:name w:val="Article / Section23246"/>
    <w:basedOn w:val="NoList"/>
    <w:next w:val="NoList"/>
    <w:rsid w:val="00983C95"/>
  </w:style>
  <w:style w:type="numbering" w:customStyle="1" w:styleId="ImportedStyle46246">
    <w:name w:val="Imported Style 46246"/>
    <w:rsid w:val="00983C95"/>
  </w:style>
  <w:style w:type="numbering" w:customStyle="1" w:styleId="ImportedStyle56246">
    <w:name w:val="Imported Style 56246"/>
    <w:rsid w:val="00983C95"/>
  </w:style>
  <w:style w:type="numbering" w:customStyle="1" w:styleId="ImportedStyle16246">
    <w:name w:val="Imported Style 16246"/>
    <w:rsid w:val="00983C95"/>
  </w:style>
  <w:style w:type="numbering" w:customStyle="1" w:styleId="ArticleSection6246">
    <w:name w:val="Article / Section6246"/>
    <w:basedOn w:val="NoList"/>
    <w:next w:val="NoList"/>
    <w:rsid w:val="00983C95"/>
  </w:style>
  <w:style w:type="numbering" w:customStyle="1" w:styleId="1ai6245">
    <w:name w:val="1 / a / i6245"/>
    <w:basedOn w:val="NoList"/>
    <w:next w:val="NoList"/>
    <w:rsid w:val="00983C95"/>
  </w:style>
  <w:style w:type="numbering" w:customStyle="1" w:styleId="1111116345">
    <w:name w:val="1 / 1.1 / 1.1.16345"/>
    <w:basedOn w:val="NoList"/>
    <w:next w:val="NoList"/>
    <w:rsid w:val="00983C95"/>
  </w:style>
  <w:style w:type="numbering" w:customStyle="1" w:styleId="ImportierterStil1246">
    <w:name w:val="Importierter Stil: 1246"/>
    <w:rsid w:val="00983C95"/>
  </w:style>
  <w:style w:type="numbering" w:customStyle="1" w:styleId="1ai51155">
    <w:name w:val="1 / a / i51155"/>
    <w:basedOn w:val="NoList"/>
    <w:next w:val="NoList"/>
    <w:rsid w:val="00983C95"/>
  </w:style>
  <w:style w:type="numbering" w:customStyle="1" w:styleId="11111151155">
    <w:name w:val="1 / 1.1 / 1.1.151155"/>
    <w:basedOn w:val="NoList"/>
    <w:next w:val="NoList"/>
    <w:rsid w:val="00983C95"/>
  </w:style>
  <w:style w:type="numbering" w:customStyle="1" w:styleId="List041155">
    <w:name w:val="List 041155"/>
    <w:basedOn w:val="NoList"/>
    <w:rsid w:val="00983C95"/>
  </w:style>
  <w:style w:type="numbering" w:customStyle="1" w:styleId="List141145">
    <w:name w:val="List 141145"/>
    <w:basedOn w:val="NoList"/>
    <w:rsid w:val="00983C95"/>
  </w:style>
  <w:style w:type="numbering" w:customStyle="1" w:styleId="List2141145">
    <w:name w:val="List 2141145"/>
    <w:basedOn w:val="NoList"/>
    <w:rsid w:val="00983C95"/>
  </w:style>
  <w:style w:type="numbering" w:customStyle="1" w:styleId="ImportedStyle4231145">
    <w:name w:val="Imported Style 4231145"/>
    <w:rsid w:val="00983C95"/>
  </w:style>
  <w:style w:type="numbering" w:customStyle="1" w:styleId="List0131145">
    <w:name w:val="List 0131145"/>
    <w:basedOn w:val="NoList"/>
    <w:rsid w:val="00983C95"/>
  </w:style>
  <w:style w:type="numbering" w:customStyle="1" w:styleId="ImportedStyle161145">
    <w:name w:val="Imported Style 161145"/>
    <w:rsid w:val="00983C95"/>
  </w:style>
  <w:style w:type="numbering" w:customStyle="1" w:styleId="List051145">
    <w:name w:val="List 051145"/>
    <w:basedOn w:val="NoList"/>
    <w:rsid w:val="00983C95"/>
  </w:style>
  <w:style w:type="numbering" w:customStyle="1" w:styleId="List2151155">
    <w:name w:val="List 2151155"/>
    <w:basedOn w:val="NoList"/>
    <w:rsid w:val="00983C95"/>
  </w:style>
  <w:style w:type="numbering" w:customStyle="1" w:styleId="ImportierterStil11145">
    <w:name w:val="Importierter Stil: 11145"/>
    <w:rsid w:val="00983C95"/>
  </w:style>
  <w:style w:type="numbering" w:customStyle="1" w:styleId="11111171155">
    <w:name w:val="1 / 1.1 / 1.1.171155"/>
    <w:basedOn w:val="NoList"/>
    <w:next w:val="NoList"/>
    <w:rsid w:val="00983C95"/>
  </w:style>
  <w:style w:type="numbering" w:customStyle="1" w:styleId="ImportedStyle48145">
    <w:name w:val="Imported Style 48145"/>
    <w:rsid w:val="00983C95"/>
  </w:style>
  <w:style w:type="numbering" w:customStyle="1" w:styleId="ImportedStyle58145">
    <w:name w:val="Imported Style 58145"/>
    <w:rsid w:val="00983C95"/>
  </w:style>
  <w:style w:type="numbering" w:customStyle="1" w:styleId="ImportedStyle18155">
    <w:name w:val="Imported Style 18155"/>
    <w:rsid w:val="00983C95"/>
  </w:style>
  <w:style w:type="numbering" w:customStyle="1" w:styleId="ArticleSection8145">
    <w:name w:val="Article / Section8145"/>
    <w:basedOn w:val="NoList"/>
    <w:next w:val="NoList"/>
    <w:rsid w:val="00983C95"/>
  </w:style>
  <w:style w:type="numbering" w:customStyle="1" w:styleId="1ai8145">
    <w:name w:val="1 / a / i8145"/>
    <w:basedOn w:val="NoList"/>
    <w:next w:val="NoList"/>
    <w:rsid w:val="00983C95"/>
  </w:style>
  <w:style w:type="numbering" w:customStyle="1" w:styleId="List07145">
    <w:name w:val="List 07145"/>
    <w:basedOn w:val="NoList"/>
    <w:rsid w:val="00983C95"/>
  </w:style>
  <w:style w:type="numbering" w:customStyle="1" w:styleId="List17145">
    <w:name w:val="List 17145"/>
    <w:basedOn w:val="NoList"/>
    <w:rsid w:val="00983C95"/>
  </w:style>
  <w:style w:type="numbering" w:customStyle="1" w:styleId="List217155">
    <w:name w:val="List 217155"/>
    <w:basedOn w:val="NoList"/>
    <w:rsid w:val="00983C95"/>
  </w:style>
  <w:style w:type="numbering" w:customStyle="1" w:styleId="11111162145">
    <w:name w:val="1 / 1.1 / 1.1.162145"/>
    <w:basedOn w:val="NoList"/>
    <w:next w:val="NoList"/>
    <w:rsid w:val="00983C95"/>
  </w:style>
  <w:style w:type="numbering" w:customStyle="1" w:styleId="ArticleSection25431">
    <w:name w:val="Article / Section25431"/>
    <w:basedOn w:val="NoList"/>
    <w:next w:val="NoList"/>
    <w:rsid w:val="00983C95"/>
  </w:style>
  <w:style w:type="numbering" w:customStyle="1" w:styleId="1ai25421">
    <w:name w:val="1 / a / i25421"/>
    <w:basedOn w:val="NoList"/>
    <w:next w:val="NoList"/>
    <w:rsid w:val="00983C95"/>
  </w:style>
  <w:style w:type="numbering" w:customStyle="1" w:styleId="List051146">
    <w:name w:val="List 051146"/>
    <w:basedOn w:val="NoList"/>
    <w:rsid w:val="00983C95"/>
  </w:style>
  <w:style w:type="character" w:customStyle="1" w:styleId="findhit">
    <w:name w:val="findhit"/>
    <w:basedOn w:val="DefaultParagraphFont"/>
    <w:rsid w:val="00983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8878</Words>
  <Characters>50611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24. Item 10.1.3. – Chapter 2.2.4. Infection with infectious hypodermal and haematopoietic necrosis virus</dc:title>
  <dc:subject/>
  <dc:creator>Egrie, Paul - MRP-APHIS</dc:creator>
  <cp:keywords/>
  <dc:description/>
  <cp:lastModifiedBy>Egrie, Paul - MRP-APHIS</cp:lastModifiedBy>
  <cp:revision>1</cp:revision>
  <dcterms:created xsi:type="dcterms:W3CDTF">2023-04-06T09:32:00Z</dcterms:created>
  <dcterms:modified xsi:type="dcterms:W3CDTF">2023-04-06T09:36:00Z</dcterms:modified>
</cp:coreProperties>
</file>