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7BFDA" w14:textId="77777777" w:rsidR="00BC7F24" w:rsidRPr="00C63176" w:rsidRDefault="00BC7F24" w:rsidP="00BC7F24">
      <w:pPr>
        <w:jc w:val="center"/>
        <w:rPr>
          <w:rFonts w:ascii="Times New Roman" w:hAnsi="Times New Roman" w:cs="Times New Roman"/>
          <w:b/>
          <w:bCs/>
        </w:rPr>
      </w:pPr>
      <w:r w:rsidRPr="00C63176">
        <w:rPr>
          <w:rFonts w:ascii="Times New Roman" w:hAnsi="Times New Roman" w:cs="Times New Roman"/>
          <w:b/>
          <w:bCs/>
        </w:rPr>
        <w:t>THE USE OF ENVIRONMENTAL DNA METHODS FOR DETECTION OF</w:t>
      </w:r>
      <w:r>
        <w:rPr>
          <w:rFonts w:ascii="Times New Roman" w:hAnsi="Times New Roman" w:cs="Times New Roman"/>
          <w:b/>
          <w:bCs/>
        </w:rPr>
        <w:br/>
      </w:r>
      <w:r w:rsidRPr="00C63176">
        <w:rPr>
          <w:rFonts w:ascii="Times New Roman" w:hAnsi="Times New Roman" w:cs="Times New Roman"/>
          <w:b/>
          <w:bCs/>
        </w:rPr>
        <w:t>OIE LISTED AQUATIC ANIMAL DISEASES</w:t>
      </w:r>
      <w:bookmarkStart w:id="0" w:name="A9"/>
      <w:bookmarkEnd w:id="0"/>
    </w:p>
    <w:p w14:paraId="78F7F824" w14:textId="77777777" w:rsidR="00BC7F24" w:rsidRPr="00D73FF0" w:rsidRDefault="00BC7F24" w:rsidP="00BC7F24">
      <w:pPr>
        <w:spacing w:after="120" w:line="276" w:lineRule="auto"/>
        <w:jc w:val="both"/>
        <w:rPr>
          <w:rFonts w:ascii="Times New Roman" w:hAnsi="Times New Roman" w:cs="Times New Roman"/>
          <w:sz w:val="20"/>
          <w:szCs w:val="20"/>
        </w:rPr>
      </w:pPr>
      <w:r w:rsidRPr="00D73FF0">
        <w:rPr>
          <w:rFonts w:ascii="Tahoma" w:hAnsi="Tahoma" w:cs="Tahoma"/>
          <w:sz w:val="20"/>
          <w:szCs w:val="20"/>
        </w:rPr>
        <w:t>﻿</w:t>
      </w:r>
      <w:r w:rsidRPr="00D73FF0">
        <w:rPr>
          <w:rFonts w:ascii="Times New Roman" w:hAnsi="Times New Roman" w:cs="Times New Roman"/>
          <w:sz w:val="20"/>
          <w:szCs w:val="20"/>
        </w:rPr>
        <w:t>A discussion paper developed by the OIE Aquatic Animal Health Standards Commission (Aquatic Animals Commission) for Member comments.</w:t>
      </w:r>
    </w:p>
    <w:p w14:paraId="5BF77749" w14:textId="77777777" w:rsidR="00BC7F24" w:rsidRPr="00D73FF0" w:rsidRDefault="00BC7F24" w:rsidP="00BC7F24">
      <w:pPr>
        <w:spacing w:after="120" w:line="276" w:lineRule="auto"/>
        <w:jc w:val="both"/>
        <w:rPr>
          <w:rFonts w:ascii="Times New Roman" w:hAnsi="Times New Roman" w:cs="Times New Roman"/>
          <w:sz w:val="20"/>
          <w:szCs w:val="20"/>
        </w:rPr>
      </w:pPr>
      <w:r w:rsidRPr="00D73FF0">
        <w:rPr>
          <w:rFonts w:ascii="Times New Roman" w:hAnsi="Times New Roman" w:cs="Times New Roman"/>
          <w:sz w:val="20"/>
          <w:szCs w:val="20"/>
        </w:rPr>
        <w:t xml:space="preserve">Version: 6 May 2021 </w:t>
      </w:r>
    </w:p>
    <w:p w14:paraId="3FA80F40" w14:textId="77777777" w:rsidR="00BC7F24" w:rsidRPr="00D73FF0" w:rsidRDefault="00BC7F24" w:rsidP="00BC7F24">
      <w:pPr>
        <w:spacing w:after="240" w:line="240" w:lineRule="auto"/>
        <w:ind w:left="425"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w:t>
      </w:r>
      <w:r>
        <w:rPr>
          <w:rFonts w:ascii="Times New Roman" w:hAnsi="Times New Roman" w:cs="Times New Roman"/>
          <w:b/>
          <w:bCs/>
          <w:sz w:val="20"/>
          <w:szCs w:val="20"/>
        </w:rPr>
        <w:tab/>
      </w:r>
      <w:r w:rsidRPr="00D73FF0">
        <w:rPr>
          <w:rFonts w:ascii="Times New Roman" w:hAnsi="Times New Roman" w:cs="Times New Roman"/>
          <w:b/>
          <w:bCs/>
          <w:sz w:val="20"/>
          <w:szCs w:val="20"/>
        </w:rPr>
        <w:t>Summary</w:t>
      </w:r>
    </w:p>
    <w:p w14:paraId="2D5DDB06" w14:textId="77777777" w:rsidR="00BC7F24" w:rsidRPr="00D73FF0" w:rsidRDefault="00BC7F24" w:rsidP="00BC7F24">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monitoring of aquatic systems using environmental DNA (eDNA) is a rapidly advancing research field that will provide opportunities for cost-effective, non-destructive methods to screen for pathogenic agents, including those of wild aquatic populations where samples may be difficult or undesirable to obtain. </w:t>
      </w:r>
    </w:p>
    <w:p w14:paraId="04A847AE" w14:textId="77777777" w:rsidR="00BC7F24" w:rsidRPr="00D73FF0" w:rsidRDefault="00BC7F24" w:rsidP="00BC7F24">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w:t>
      </w:r>
      <w:r w:rsidRPr="00D73FF0">
        <w:rPr>
          <w:rFonts w:ascii="Times New Roman" w:hAnsi="Times New Roman" w:cs="Times New Roman"/>
          <w:sz w:val="20"/>
          <w:szCs w:val="20"/>
          <w:lang w:val="en-IE"/>
        </w:rPr>
        <w:t xml:space="preserve">Aquatic Animals </w:t>
      </w:r>
      <w:r w:rsidRPr="00D73FF0">
        <w:rPr>
          <w:rFonts w:ascii="Times New Roman" w:hAnsi="Times New Roman" w:cs="Times New Roman"/>
          <w:bCs/>
          <w:sz w:val="20"/>
          <w:szCs w:val="20"/>
          <w:lang w:val="en-IE"/>
        </w:rPr>
        <w:t>Commission</w:t>
      </w:r>
      <w:r w:rsidRPr="00D73FF0">
        <w:rPr>
          <w:rFonts w:ascii="Times New Roman" w:hAnsi="Times New Roman" w:cs="Times New Roman"/>
          <w:sz w:val="20"/>
          <w:szCs w:val="20"/>
          <w:lang w:val="en-CA"/>
        </w:rPr>
        <w:t xml:space="preserve"> is aware that eDNA methods are being applied for detecting the causative agents of several OIE listed diseases. As these methods are available and currently in use, the Commission has agreed that it would be advisable for guidance to be provided on appropriate application of eDNA methods and potential limitations. </w:t>
      </w:r>
    </w:p>
    <w:p w14:paraId="46D29129" w14:textId="77777777" w:rsidR="00BC7F24" w:rsidRPr="00D73FF0" w:rsidRDefault="00BC7F24" w:rsidP="00BC7F24">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Commission notes that, as accurate estimates of diagnostic performance are not available for designing surveillance programmes using eDNA assays, data obtained from eDNA methods are unlikely to be suitable to support declarations of freedom from listed diseases. Confirmation of infection with listed diseases could also not be made using eDNA methods because a positive result does not demonstrate that a susceptible host animal(s) is infected. </w:t>
      </w:r>
    </w:p>
    <w:p w14:paraId="1717BF84" w14:textId="77777777" w:rsidR="00BC7F24" w:rsidRPr="00D73FF0" w:rsidRDefault="00BC7F24" w:rsidP="00BC7F24">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Positive eDNA results could, however, provide evidence amounting to suspicion of infection. This application of eDNA methods may be particularly useful for the monitoring of high-value or rare animals as an alternative to collection of tissue samples. It has a potential role in early detection of disease incursion in wild populations or under circumstances when infection is not likely to result in observable clinical signs. However, following suspicion, based on positive eDNA, samples obtained directly from aquatic animals need to be tested—as described in the relevant disease-specific chapters of the </w:t>
      </w:r>
      <w:r w:rsidRPr="00D73FF0">
        <w:rPr>
          <w:rFonts w:ascii="Times New Roman" w:hAnsi="Times New Roman" w:cs="Times New Roman"/>
          <w:i/>
          <w:iCs/>
          <w:sz w:val="20"/>
          <w:szCs w:val="20"/>
          <w:lang w:val="en-CA"/>
        </w:rPr>
        <w:t>Manual of Diagnostic Tests for Aquatic Animals</w:t>
      </w:r>
      <w:r w:rsidRPr="00D73FF0">
        <w:rPr>
          <w:rFonts w:ascii="Times New Roman" w:hAnsi="Times New Roman" w:cs="Times New Roman"/>
          <w:sz w:val="20"/>
          <w:szCs w:val="20"/>
          <w:lang w:val="en-CA"/>
        </w:rPr>
        <w:t xml:space="preserve">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to confirm or exclude the case. </w:t>
      </w:r>
    </w:p>
    <w:p w14:paraId="051AFAD5" w14:textId="77777777" w:rsidR="00BC7F24" w:rsidRPr="00D73FF0" w:rsidRDefault="00BC7F24" w:rsidP="00BC7F24">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This document is intended to explore the potential use of eDNA methods with respect to the standards of the OIE </w:t>
      </w:r>
      <w:r w:rsidRPr="00D73FF0">
        <w:rPr>
          <w:rFonts w:ascii="Times New Roman" w:hAnsi="Times New Roman" w:cs="Times New Roman"/>
          <w:i/>
          <w:iCs/>
          <w:sz w:val="20"/>
          <w:szCs w:val="20"/>
          <w:lang w:val="en-CA"/>
        </w:rPr>
        <w:t xml:space="preserve">Aquatic Animal Health Code </w:t>
      </w:r>
      <w:r w:rsidRPr="00D73FF0">
        <w:rPr>
          <w:rFonts w:ascii="Times New Roman" w:hAnsi="Times New Roman" w:cs="Times New Roman"/>
          <w:sz w:val="20"/>
          <w:szCs w:val="20"/>
          <w:lang w:val="en-CA"/>
        </w:rPr>
        <w:t>(</w:t>
      </w:r>
      <w:r w:rsidRPr="00D73FF0">
        <w:rPr>
          <w:rFonts w:ascii="Times New Roman" w:hAnsi="Times New Roman" w:cs="Times New Roman"/>
          <w:i/>
          <w:iCs/>
          <w:sz w:val="20"/>
          <w:szCs w:val="20"/>
          <w:lang w:val="en-CA"/>
        </w:rPr>
        <w:t>Aquatic Code</w:t>
      </w:r>
      <w:r w:rsidRPr="00D73FF0">
        <w:rPr>
          <w:rFonts w:ascii="Times New Roman" w:hAnsi="Times New Roman" w:cs="Times New Roman"/>
          <w:sz w:val="20"/>
          <w:szCs w:val="20"/>
          <w:lang w:val="en-CA"/>
        </w:rPr>
        <w:t xml:space="preserve">) and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and to outline benefits and limitations. </w:t>
      </w:r>
    </w:p>
    <w:p w14:paraId="7715629E" w14:textId="77777777" w:rsidR="00BC7F24" w:rsidRPr="00D73FF0" w:rsidRDefault="00BC7F24" w:rsidP="00BC7F24">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use of an eDNA method for the detection of </w:t>
      </w:r>
      <w:proofErr w:type="spellStart"/>
      <w:r w:rsidRPr="00D73FF0">
        <w:rPr>
          <w:rFonts w:ascii="Times New Roman" w:hAnsi="Times New Roman" w:cs="Times New Roman"/>
          <w:i/>
          <w:iCs/>
          <w:sz w:val="20"/>
          <w:szCs w:val="20"/>
          <w:lang w:val="en-CA"/>
        </w:rPr>
        <w:t>Gyrodactylus</w:t>
      </w:r>
      <w:proofErr w:type="spellEnd"/>
      <w:r w:rsidRPr="00D73FF0">
        <w:rPr>
          <w:rFonts w:ascii="Times New Roman" w:hAnsi="Times New Roman" w:cs="Times New Roman"/>
          <w:i/>
          <w:iCs/>
          <w:sz w:val="20"/>
          <w:szCs w:val="20"/>
          <w:lang w:val="en-CA"/>
        </w:rPr>
        <w:t xml:space="preserve"> </w:t>
      </w:r>
      <w:proofErr w:type="spellStart"/>
      <w:r w:rsidRPr="00D73FF0">
        <w:rPr>
          <w:rFonts w:ascii="Times New Roman" w:hAnsi="Times New Roman" w:cs="Times New Roman"/>
          <w:i/>
          <w:iCs/>
          <w:sz w:val="20"/>
          <w:szCs w:val="20"/>
          <w:lang w:val="en-CA"/>
        </w:rPr>
        <w:t>salaris</w:t>
      </w:r>
      <w:proofErr w:type="spellEnd"/>
      <w:r w:rsidRPr="00D73FF0">
        <w:rPr>
          <w:rFonts w:ascii="Times New Roman" w:hAnsi="Times New Roman" w:cs="Times New Roman"/>
          <w:sz w:val="20"/>
          <w:szCs w:val="20"/>
          <w:lang w:val="en-CA"/>
        </w:rPr>
        <w:t xml:space="preserve"> has been proposed for inclusion in the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chapter for Infection with </w:t>
      </w:r>
      <w:proofErr w:type="spellStart"/>
      <w:r w:rsidRPr="00D73FF0">
        <w:rPr>
          <w:rFonts w:ascii="Times New Roman" w:hAnsi="Times New Roman" w:cs="Times New Roman"/>
          <w:i/>
          <w:iCs/>
          <w:sz w:val="20"/>
          <w:szCs w:val="20"/>
          <w:lang w:val="en-CA"/>
        </w:rPr>
        <w:t>Gyrodactylus</w:t>
      </w:r>
      <w:proofErr w:type="spellEnd"/>
      <w:r w:rsidRPr="00D73FF0">
        <w:rPr>
          <w:rFonts w:ascii="Times New Roman" w:hAnsi="Times New Roman" w:cs="Times New Roman"/>
          <w:i/>
          <w:iCs/>
          <w:sz w:val="20"/>
          <w:szCs w:val="20"/>
          <w:lang w:val="en-CA"/>
        </w:rPr>
        <w:t xml:space="preserve"> </w:t>
      </w:r>
      <w:proofErr w:type="spellStart"/>
      <w:r w:rsidRPr="00D73FF0">
        <w:rPr>
          <w:rFonts w:ascii="Times New Roman" w:hAnsi="Times New Roman" w:cs="Times New Roman"/>
          <w:i/>
          <w:iCs/>
          <w:sz w:val="20"/>
          <w:szCs w:val="20"/>
          <w:lang w:val="en-CA"/>
        </w:rPr>
        <w:t>salaris</w:t>
      </w:r>
      <w:proofErr w:type="spellEnd"/>
      <w:r w:rsidRPr="00D73FF0">
        <w:rPr>
          <w:rFonts w:ascii="Times New Roman" w:hAnsi="Times New Roman" w:cs="Times New Roman"/>
          <w:sz w:val="20"/>
          <w:szCs w:val="20"/>
          <w:lang w:val="en-CA"/>
        </w:rPr>
        <w:t xml:space="preserve"> (see February 2021 Aquatic Animals Commission report, Part A, </w:t>
      </w:r>
      <w:r w:rsidRPr="00D73FF0">
        <w:rPr>
          <w:rFonts w:ascii="Times New Roman" w:hAnsi="Times New Roman" w:cs="Times New Roman"/>
          <w:sz w:val="20"/>
          <w:szCs w:val="20"/>
          <w:u w:val="single"/>
          <w:lang w:val="en-CA"/>
        </w:rPr>
        <w:t>Annex 9)</w:t>
      </w:r>
      <w:r w:rsidRPr="00D73FF0">
        <w:rPr>
          <w:rFonts w:ascii="Times New Roman" w:hAnsi="Times New Roman" w:cs="Times New Roman"/>
          <w:sz w:val="20"/>
          <w:szCs w:val="20"/>
          <w:lang w:val="en-CA"/>
        </w:rPr>
        <w:t>. The inclusion of this method conforms with the conclusions of this discussion paper.</w:t>
      </w:r>
    </w:p>
    <w:p w14:paraId="0A752BCE" w14:textId="77777777" w:rsidR="00BC7F24" w:rsidRPr="00D73FF0" w:rsidRDefault="00BC7F24" w:rsidP="00BC7F24">
      <w:pPr>
        <w:pStyle w:val="ListParagraph"/>
        <w:numPr>
          <w:ilvl w:val="0"/>
          <w:numId w:val="1"/>
        </w:numPr>
        <w:spacing w:after="240" w:line="240" w:lineRule="auto"/>
        <w:ind w:left="425"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Definitions for eDNA</w:t>
      </w:r>
    </w:p>
    <w:p w14:paraId="4C1E4099" w14:textId="77777777" w:rsidR="00BC7F24" w:rsidRDefault="00BC7F24" w:rsidP="00BC7F24">
      <w:pPr>
        <w:spacing w:after="240" w:line="240" w:lineRule="auto"/>
        <w:ind w:left="425"/>
        <w:jc w:val="both"/>
        <w:rPr>
          <w:rFonts w:ascii="Times New Roman" w:hAnsi="Times New Roman" w:cs="Times New Roman"/>
          <w:sz w:val="20"/>
          <w:szCs w:val="20"/>
        </w:rPr>
      </w:pPr>
      <w:r w:rsidRPr="00D73FF0">
        <w:rPr>
          <w:rFonts w:ascii="Times New Roman" w:hAnsi="Times New Roman" w:cs="Times New Roman"/>
          <w:sz w:val="20"/>
          <w:szCs w:val="20"/>
        </w:rPr>
        <w:t xml:space="preserve">Numerous definitions for eDNA exist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{"citationItems":[{"id":"ITEM-1","itemData":{"DOI":"10.1016/j.biocon.2014.11.019","ISSN":"00063207","abstract":"The continuous decline in Earth's biodiversity represents a major crisis and challenge for the 21st century, and there is international political agreement to slow down or halt this decline. The challenge is in large part impeded by the lack of knowledge on the state and distribution of biodiversity - especially since the majority of species on Earth are un-described by science. All conservation efforts to save biodiversity essentially depend on the monitoring of species and populations to obtain reliable distribution patterns and population size estimates. Such monitoring has traditionally relied on physical identification of species by visual surveys and counting of individuals. However, traditional monitoring techniques remain problematic due to difficulties associated with correct identification of cryptic species or juvenile life stages, a continuous decline in taxonomic expertise, non-standardized sampling, and the invasive nature of some survey techniques. Hence, there is urgent need for alternative and efficient techniques for large-scale biodiversity monitoring. Environmental DNA (eDNA) - defined here as: genetic material obtained directly from environmental samples (soil, sediment, water, etc.) without any obvious signs of biological source material - is an efficient, non-invasive and easy-to-standardize sampling approach. Coupled with sensitive, cost-efficient and ever-advancing DNA sequencing technology, it may be an appropriate candidate for the challenge of biodiversity monitoring. Environmental DNA has been obtained from ancient as well as modern samples and encompasses single species detection to analyses of ecosystems. The research on eDNA initiated in microbiology, recognizing that culture-based methods grossly misrepresent the microbial diversity in nature. Subsequently, as a method to assess the diversity of macro-organismal communities, eDNA was first analyzed in sediments, revealing DNA from extinct and extant animals and plants, but has since been obtained from various terrestrial and aquatic environmental samples. Results from eDNA approaches have provided valuable insights to the study of ancient environments and proven useful for monitoring contemporary biodiversity in terrestrial and aquatic ecosystems. In the future, we expect the eDNA-based approaches to move from single-marker analyses of species or communities to meta-genomic surveys of entire ecosystems to predict spatial and temporal biodiversity patterns. Such advances …","author":[{"dropping-particle":"","family":"Thomsen","given":"Philip Francis","non-dropping-particle":"","parse-names":false,"suffix":""},{"dropping-particle":"","family":"Willerslev","given":"Eske","non-dropping-particle":"","parse-names":false,"suffix":""}],"container-title":"Biological Conservation","id":"ITEM-1","issued":{"date-parts":[["2015"]]},"page":"4-18","publisher":"Elsevier Ltd","title":"Environmental DNA - An emerging tool in conservation for monitoring past and present biodiversity","type":"article-journal","volume":"183"},"uris":["http://www.mendeley.com/documents/?uuid=3de70a3a-b2ac-411b-a3ab-e3f7f1540cec"]},{"id":"ITEM-2","itemData":{"DOI":"10.15517/rbt.v62i4.13231","ISSN":"0034-7744","PMID":"25720166","abstract":"Genetic material (short DNA fragments) left behind by species in nonliving components of the environment (e.g. soil, sediment, or water) is defined as environmental DNA (eDNA). This DNA has been previously described as particulate DNA and has been used to detect and describe microbial communities in marine sediments since the mid-1980’s and phytoplankton communities in the water column since the early-1990’s. More recently, eDNA has been used to monitor invasive or endangered vertebrate and invertebrate species. While there is a steady increase in the applicability of eDNA as a monitoring tool, a variety of eDNA applications are emerging in fields such as forensics, population and community ecology, and taxonomy. This review provides scientist an understanding of the methods underlying eDNA detection as well as applications, key methodological considerations, and emerging areas of interest for its use in ecology and conservation of freshwater and marine environments.","author":[{"dropping-particle":"","family":"Díaz-Ferguson","given":"Edgardo E.","non-dropping-particle":"","parse-names":false,"suffix":""},{"dropping-particle":"","family":"Moyer","given":"Gregory R.","non-dropping-particle":"","parse-names":false,"suffix":""}],"container-title":"Revista de Biología Tropical","id":"ITEM-2","issue":"4","issued":{"date-parts":[["2014"]]},"page":"1273","title":"History, applications, methodological issues and perspectives for the use environmental DNA (eDNA) in marine and freshwater environments","type":"article-journal","volume":"62"},"uris":["http://www.mendeley.com/documents/?uuid=8b0a88c9-0c1a-465f-8697-1b0a3411430a"]},{"id":"ITEM-3","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w:instrText>
      </w:r>
      <w:r w:rsidRPr="00D73FF0">
        <w:rPr>
          <w:rFonts w:ascii="Times New Roman" w:hAnsi="Times New Roman" w:cs="Times New Roman"/>
          <w:sz w:val="20"/>
          <w:szCs w:val="20"/>
          <w:lang w:val="nb-NO"/>
        </w:rPr>
        <w:instrText>,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Parasitology","id":"ITEM-3","issue":"10","issued":{"date-parts":[["2015"]]},"page":"499-513","publisher":"Elsevier Ltd","title":"Diverse Applications of Environmental DNA Methods in Parasitology","type":"article-journal","volume":"31"},"uris":["http://www.mendeley.com/documents/?uuid=3265983f-d1c0-4de0-aa39-0ec624e7c65b"]}],"mendeley":{"formattedCitation":"(Díaz-Ferguson &amp; Moyer 2014, Bass et al. 2015, Thomsen &amp; Willerslev 2015)","manualFormatting":"(e.g. Díaz-Ferguson &amp; Moyer 2014, Bass et al. 2015, Thomsen &amp; Willerslev 2015)","plainTextFormattedCitation":"(Díaz-Ferguson &amp; Moyer 2014, Bass et al. 2015, Thomsen &amp; Willerslev 2015)","previouslyFormattedCitation":"(Díaz-Ferguson &amp; Moyer 2014, Bass et al. 2015, Thomsen &amp; Willerslev 2015)"},"properties":{"noteIndex":0},"schema":"https://github.com/citation-style-language/schema/raw/master/csl-citation.json"}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(e.g. Díaz-Ferguson and Moyer</w:t>
      </w:r>
      <w:r w:rsidRPr="00D73FF0">
        <w:rPr>
          <w:rFonts w:ascii="Times New Roman" w:hAnsi="Times New Roman" w:cs="Times New Roman"/>
          <w:noProof/>
          <w:sz w:val="20"/>
          <w:szCs w:val="20"/>
          <w:lang w:val="nb-NO"/>
        </w:rPr>
        <w:t>,</w:t>
      </w:r>
      <w:r w:rsidRPr="00D73FF0">
        <w:rPr>
          <w:rFonts w:ascii="Times New Roman" w:hAnsi="Times New Roman" w:cs="Times New Roman"/>
          <w:noProof/>
          <w:sz w:val="20"/>
          <w:szCs w:val="20"/>
        </w:rPr>
        <w:t xml:space="preserve"> 2014</w:t>
      </w:r>
      <w:r w:rsidRPr="00D73FF0">
        <w:rPr>
          <w:rFonts w:ascii="Times New Roman" w:hAnsi="Times New Roman" w:cs="Times New Roman"/>
          <w:noProof/>
          <w:sz w:val="20"/>
          <w:szCs w:val="20"/>
          <w:lang w:val="nb-NO"/>
        </w:rPr>
        <w:t xml:space="preserve">; Bass </w:t>
      </w:r>
      <w:r w:rsidRPr="00D73FF0">
        <w:rPr>
          <w:rFonts w:ascii="Times New Roman" w:hAnsi="Times New Roman" w:cs="Times New Roman"/>
          <w:i/>
          <w:iCs/>
          <w:noProof/>
          <w:sz w:val="20"/>
          <w:szCs w:val="20"/>
          <w:lang w:val="nb-NO"/>
        </w:rPr>
        <w:t>et al</w:t>
      </w:r>
      <w:r w:rsidRPr="00D73FF0">
        <w:rPr>
          <w:rFonts w:ascii="Times New Roman" w:hAnsi="Times New Roman" w:cs="Times New Roman"/>
          <w:noProof/>
          <w:sz w:val="20"/>
          <w:szCs w:val="20"/>
        </w:rPr>
        <w:t>.</w:t>
      </w:r>
      <w:r w:rsidRPr="00D73FF0">
        <w:rPr>
          <w:rFonts w:ascii="Times New Roman" w:hAnsi="Times New Roman" w:cs="Times New Roman"/>
          <w:noProof/>
          <w:sz w:val="20"/>
          <w:szCs w:val="20"/>
          <w:lang w:val="nb-NO"/>
        </w:rPr>
        <w:t>,</w:t>
      </w:r>
      <w:r w:rsidRPr="00D73FF0">
        <w:rPr>
          <w:rFonts w:ascii="Times New Roman" w:hAnsi="Times New Roman" w:cs="Times New Roman"/>
          <w:noProof/>
          <w:sz w:val="20"/>
          <w:szCs w:val="20"/>
        </w:rPr>
        <w:t xml:space="preserve"> 2015</w:t>
      </w:r>
      <w:r w:rsidRPr="00D73FF0">
        <w:rPr>
          <w:rFonts w:ascii="Times New Roman" w:hAnsi="Times New Roman" w:cs="Times New Roman"/>
          <w:noProof/>
          <w:sz w:val="20"/>
          <w:szCs w:val="20"/>
          <w:lang w:val="nb-NO"/>
        </w:rPr>
        <w:t>; Thomsen and Willerslev,</w:t>
      </w:r>
      <w:r w:rsidRPr="00D73FF0">
        <w:rPr>
          <w:rFonts w:ascii="Times New Roman" w:hAnsi="Times New Roman" w:cs="Times New Roman"/>
          <w:noProof/>
          <w:sz w:val="20"/>
          <w:szCs w:val="20"/>
        </w:rPr>
        <w:t xml:space="preserve"> 2015)</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Most definitions regard eDNA as detectable short DNA fragments from a living organism derived from cellular components or fluids secreted into the abiotic components of surrounding environment (i.e. water, air, sediments).</w:t>
      </w:r>
    </w:p>
    <w:p w14:paraId="3FA1015A" w14:textId="77777777" w:rsidR="00BC7F24" w:rsidRPr="00D73FF0" w:rsidRDefault="00BC7F24" w:rsidP="00BC7F24">
      <w:pPr>
        <w:spacing w:after="240" w:line="240" w:lineRule="auto"/>
        <w:ind w:left="425"/>
        <w:jc w:val="both"/>
        <w:rPr>
          <w:rFonts w:ascii="Times New Roman" w:hAnsi="Times New Roman" w:cs="Times New Roman"/>
          <w:sz w:val="20"/>
          <w:szCs w:val="20"/>
        </w:rPr>
      </w:pPr>
      <w:r w:rsidRPr="00D73FF0">
        <w:rPr>
          <w:rFonts w:ascii="Times New Roman" w:hAnsi="Times New Roman" w:cs="Times New Roman"/>
          <w:sz w:val="20"/>
          <w:szCs w:val="20"/>
        </w:rPr>
        <w:t xml:space="preserve">For the purposes of this document we define eDNA as: “nucleic acids extracted from ‘true’ environmental samples (such as water, soil, sediment, biofilm)”. Directly host-derived material such as faeces, sloughed cells, and mucous, are excluded from this definition. Once extracted from the environmental sample, target eDNA fragments can be detected using a variety of molecular methods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{"citationItems":[{"id":"ITEM-1","itemData":{"DOI":"10.15517/rbt.v62i4.13231","ISSN":"0034-7744","PMID":"25720166","abstract":"Genetic material (short DNA fragments) left behind by species in nonliving components of the environment (e.g. soil, sediment, or water) is defined as environmental DNA (eDNA). This DNA has been previously described as particulate DNA and has been used to detect and describe microbial communities in marine sediments since the mid-1980’s and phytoplankton communities in the water column since the early-1990’s. More recently, eDNA has been used to monitor invasive or endangered vertebrate and invertebrate species. While there is a steady increase in the applicability of eDNA as a monitoring tool, a variety of eDNA applications are emerging in fields such as forensics, population and community ecology, and taxonomy. This review provides scientist an understanding of the methods underlying eDNA detection as well as applications, key methodological considerations, and emerging areas of interest for its use in ecology and conservation of freshwater and marine environments.","author":[{"dropping-particle":"","family":"Díaz-Ferguson","given":"Edgardo E.","non-dropping-particle":"","parse-names":false,"suffix":""},{"dropping-particle":"","family":"Moyer","given":"Gregory R.","non-dropping-particle":"","parse-names":false,"suffix":""}],"container-title":"Revista de Biología Tropical","id":"ITEM-1","issue":"4","issued":{"date-parts":[["2014"]]},"page":"1273","title":"History, applications, methodological issues and perspectives for the use environmental DNA (eDNA) in marine and freshwater environments","type":"article-journal","volume":"62"},"uris":["http://www.mendeley.com/documents/?uuid=8b0a88c9-0c1a-465f-8697-1b0a3411430a"]}],"mendeley":{"formattedCitation":"(Díaz-Ferguson &amp; Moyer 2014)","plainTextFormattedCitation":"(Díaz-Ferguson &amp; Moyer 2014)","previouslyFormattedCitation":"(Díaz-Ferguson &amp; Moyer 2014)"},"properties":{"noteIndex":0},"schema":"https://github.com/citation-style-language/schema/raw/master/csl-citation.json"}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(Díaz-Ferguson and Moyer, 2014)</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r>
        <w:rPr>
          <w:rFonts w:ascii="Times New Roman" w:hAnsi="Times New Roman" w:cs="Times New Roman"/>
          <w:sz w:val="20"/>
          <w:szCs w:val="20"/>
        </w:rPr>
        <w:t xml:space="preserve"> </w:t>
      </w:r>
      <w:r w:rsidRPr="00D73FF0">
        <w:rPr>
          <w:rFonts w:ascii="Times New Roman" w:hAnsi="Times New Roman" w:cs="Times New Roman"/>
          <w:sz w:val="20"/>
          <w:szCs w:val="20"/>
        </w:rPr>
        <w:t xml:space="preserve">Furthermore, eDNA can be sequenced directly as metagenetic libraries or after PCR amplification of specific target gene regions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Parasitology","id":"ITEM-1","issue":"10","issued":{"date-parts":[["2015"]]},"page":"499-513","publisher":"Elsevier Ltd","title":"Diverse Applications of Environmental DNA Methods in Parasitology","type":"article-journal","volume":"31"},"uris":["http://www.mendeley.com/documents/?uuid=3265983f-d1c0-4de0-aa39-0ec624e7c65b"]}],"mendeley":{"formattedCitation":"(Bass et al. 2015)","plainTextFormattedCitation":"(Bass et al. 2015)","previouslyFormattedCitation":"(Bass et al. 2015)"},"properties":{"noteIndex":0},"schema":"https://github.com/citation-style-language/schema/raw/master/csl-citation.json"}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(Bass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2015)</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1EBDB662" w14:textId="77777777" w:rsidR="00BC7F24" w:rsidRDefault="00BC7F24" w:rsidP="00BC7F24">
      <w:pPr>
        <w:spacing w:after="240" w:line="276" w:lineRule="auto"/>
        <w:ind w:left="426"/>
        <w:jc w:val="both"/>
        <w:rPr>
          <w:rFonts w:ascii="Times New Roman" w:hAnsi="Times New Roman" w:cs="Times New Roman"/>
          <w:sz w:val="20"/>
          <w:szCs w:val="20"/>
        </w:rPr>
      </w:pPr>
      <w:r>
        <w:rPr>
          <w:rFonts w:ascii="Times New Roman" w:hAnsi="Times New Roman" w:cs="Times New Roman"/>
          <w:sz w:val="20"/>
          <w:szCs w:val="20"/>
        </w:rPr>
        <w:br w:type="page"/>
      </w:r>
    </w:p>
    <w:p w14:paraId="6F0A9B86"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lastRenderedPageBreak/>
        <w:t xml:space="preserve">The actual performance of eDNA based detection depends on the sample collection and processing methodology (e.g. volume filtered, presence and removal of PCR inhibitors), biological processes (e.g. rates of shedding, temporal variation) and abiotic factors (analyte degradation, hydrodynamic factors). It is important to evaluate these factors empirically so that the results can be properly interpreted. It is only with a clear understanding of how these factors influence the probability of pathogenic agent detection that eDNA-based detection can be used reliably in a variety of settings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04FD604A" w14:textId="77777777" w:rsidR="00BC7F24" w:rsidRPr="00D73FF0" w:rsidRDefault="00BC7F24" w:rsidP="00BC7F24">
      <w:pPr>
        <w:pStyle w:val="ListParagraph"/>
        <w:numPr>
          <w:ilvl w:val="0"/>
          <w:numId w:val="1"/>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 xml:space="preserve">Objectives </w:t>
      </w:r>
    </w:p>
    <w:p w14:paraId="0763AD0F"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This paper considers i) the benefits and ii) limitations of eDNA pathogenic agent detection methods, iii) validation of eDNA methods, iv) the conditions for inclusion of an eDNA method in a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and v) use of eDNA evidence as diagnostic criteria. </w:t>
      </w:r>
    </w:p>
    <w:p w14:paraId="15F2D871" w14:textId="77777777" w:rsidR="00BC7F24" w:rsidRPr="00D73FF0" w:rsidRDefault="00BC7F24" w:rsidP="00BC7F24">
      <w:pPr>
        <w:pStyle w:val="ListParagraph"/>
        <w:numPr>
          <w:ilvl w:val="0"/>
          <w:numId w:val="1"/>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Review of published eDNA methods for the detection of aquatic animal pathogenic agents</w:t>
      </w:r>
    </w:p>
    <w:p w14:paraId="20661F2D"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 literature review was undertaken to assess the application of eDNA methods for the detection and study of pathogens and parasites of aquatic animals. Thirty-three publications reporting the use of eDNA to detect thirteen OIE listed pathogenic agents were identified (see Appendix 1, Table 1 for details). Methods have been developed for the detection of the causative agents of OIE listed pathogenic agents of amphibians, crustaceans, </w:t>
      </w:r>
      <w:proofErr w:type="gramStart"/>
      <w:r w:rsidRPr="00D73FF0">
        <w:rPr>
          <w:rFonts w:ascii="Times New Roman" w:hAnsi="Times New Roman" w:cs="Times New Roman"/>
          <w:sz w:val="20"/>
          <w:szCs w:val="20"/>
        </w:rPr>
        <w:t>fish</w:t>
      </w:r>
      <w:proofErr w:type="gramEnd"/>
      <w:r w:rsidRPr="00D73FF0">
        <w:rPr>
          <w:rFonts w:ascii="Times New Roman" w:hAnsi="Times New Roman" w:cs="Times New Roman"/>
          <w:sz w:val="20"/>
          <w:szCs w:val="20"/>
        </w:rPr>
        <w:t xml:space="preserve"> and molluscs. </w:t>
      </w:r>
      <w:proofErr w:type="gramStart"/>
      <w:r w:rsidRPr="00D73FF0">
        <w:rPr>
          <w:rFonts w:ascii="Times New Roman" w:hAnsi="Times New Roman" w:cs="Times New Roman"/>
          <w:sz w:val="20"/>
          <w:szCs w:val="20"/>
        </w:rPr>
        <w:t>The majority of</w:t>
      </w:r>
      <w:proofErr w:type="gramEnd"/>
      <w:r w:rsidRPr="00D73FF0">
        <w:rPr>
          <w:rFonts w:ascii="Times New Roman" w:hAnsi="Times New Roman" w:cs="Times New Roman"/>
          <w:sz w:val="20"/>
          <w:szCs w:val="20"/>
        </w:rPr>
        <w:t xml:space="preserve"> publications concern the detection of the listed pathogenic agents in wild aquatic animal populations, notably infection with </w:t>
      </w:r>
      <w:r w:rsidRPr="00D73FF0">
        <w:rPr>
          <w:rFonts w:ascii="Times New Roman" w:hAnsi="Times New Roman" w:cs="Times New Roman"/>
          <w:i/>
          <w:iCs/>
          <w:sz w:val="20"/>
          <w:szCs w:val="20"/>
        </w:rPr>
        <w:t xml:space="preserve">Aphanomyces </w:t>
      </w:r>
      <w:proofErr w:type="spellStart"/>
      <w:r w:rsidRPr="00D73FF0">
        <w:rPr>
          <w:rFonts w:ascii="Times New Roman" w:hAnsi="Times New Roman" w:cs="Times New Roman"/>
          <w:i/>
          <w:iCs/>
          <w:sz w:val="20"/>
          <w:szCs w:val="20"/>
        </w:rPr>
        <w:t>astaci</w:t>
      </w:r>
      <w:proofErr w:type="spellEnd"/>
      <w:r w:rsidRPr="00D73FF0">
        <w:rPr>
          <w:rFonts w:ascii="Times New Roman" w:hAnsi="Times New Roman" w:cs="Times New Roman"/>
          <w:sz w:val="20"/>
          <w:szCs w:val="20"/>
        </w:rPr>
        <w:t xml:space="preserve">, infection with </w:t>
      </w:r>
      <w:r w:rsidRPr="00D73FF0">
        <w:rPr>
          <w:rFonts w:ascii="Times New Roman" w:hAnsi="Times New Roman" w:cs="Times New Roman"/>
          <w:i/>
          <w:iCs/>
          <w:sz w:val="20"/>
          <w:szCs w:val="20"/>
        </w:rPr>
        <w:t xml:space="preserve">Batrachochytrium </w:t>
      </w:r>
      <w:proofErr w:type="spellStart"/>
      <w:r w:rsidRPr="00D73FF0">
        <w:rPr>
          <w:rFonts w:ascii="Times New Roman" w:hAnsi="Times New Roman" w:cs="Times New Roman"/>
          <w:i/>
          <w:iCs/>
          <w:sz w:val="20"/>
          <w:szCs w:val="20"/>
        </w:rPr>
        <w:t>dendrobatidis</w:t>
      </w:r>
      <w:proofErr w:type="spellEnd"/>
      <w:r w:rsidRPr="00D73FF0">
        <w:rPr>
          <w:rFonts w:ascii="Times New Roman" w:hAnsi="Times New Roman" w:cs="Times New Roman"/>
          <w:sz w:val="20"/>
          <w:szCs w:val="20"/>
        </w:rPr>
        <w:t xml:space="preserve">, infection with </w:t>
      </w:r>
      <w:r w:rsidRPr="00D73FF0">
        <w:rPr>
          <w:rFonts w:ascii="Times New Roman" w:hAnsi="Times New Roman" w:cs="Times New Roman"/>
          <w:i/>
          <w:iCs/>
          <w:sz w:val="20"/>
          <w:szCs w:val="20"/>
        </w:rPr>
        <w:t xml:space="preserve">B. </w:t>
      </w:r>
      <w:proofErr w:type="spellStart"/>
      <w:r w:rsidRPr="00D73FF0">
        <w:rPr>
          <w:rFonts w:ascii="Times New Roman" w:hAnsi="Times New Roman" w:cs="Times New Roman"/>
          <w:i/>
          <w:iCs/>
          <w:sz w:val="20"/>
          <w:szCs w:val="20"/>
        </w:rPr>
        <w:t>salamandrivorans</w:t>
      </w:r>
      <w:proofErr w:type="spellEnd"/>
      <w:r w:rsidRPr="00D73FF0">
        <w:rPr>
          <w:rFonts w:ascii="Times New Roman" w:hAnsi="Times New Roman" w:cs="Times New Roman"/>
          <w:sz w:val="20"/>
          <w:szCs w:val="20"/>
        </w:rPr>
        <w:t xml:space="preserve">, infection with </w:t>
      </w:r>
      <w:proofErr w:type="spellStart"/>
      <w:r w:rsidRPr="00D73FF0">
        <w:rPr>
          <w:rFonts w:ascii="Times New Roman" w:hAnsi="Times New Roman" w:cs="Times New Roman"/>
          <w:i/>
          <w:iCs/>
          <w:sz w:val="20"/>
          <w:szCs w:val="20"/>
        </w:rPr>
        <w:t>Ranavirus</w:t>
      </w:r>
      <w:proofErr w:type="spellEnd"/>
      <w:r w:rsidRPr="00D73FF0">
        <w:rPr>
          <w:rFonts w:ascii="Times New Roman" w:hAnsi="Times New Roman" w:cs="Times New Roman"/>
          <w:sz w:val="20"/>
          <w:szCs w:val="20"/>
        </w:rPr>
        <w:t xml:space="preserve"> species, infection with </w:t>
      </w:r>
      <w:r w:rsidRPr="00D73FF0">
        <w:rPr>
          <w:rFonts w:ascii="Times New Roman" w:hAnsi="Times New Roman" w:cs="Times New Roman"/>
          <w:i/>
          <w:iCs/>
          <w:sz w:val="20"/>
          <w:szCs w:val="20"/>
        </w:rPr>
        <w:t xml:space="preserve">G. </w:t>
      </w:r>
      <w:proofErr w:type="spellStart"/>
      <w:r w:rsidRPr="00D73FF0">
        <w:rPr>
          <w:rFonts w:ascii="Times New Roman" w:hAnsi="Times New Roman" w:cs="Times New Roman"/>
          <w:i/>
          <w:iCs/>
          <w:sz w:val="20"/>
          <w:szCs w:val="20"/>
        </w:rPr>
        <w:t>salaris</w:t>
      </w:r>
      <w:proofErr w:type="spellEnd"/>
      <w:r w:rsidRPr="00D73FF0">
        <w:rPr>
          <w:rFonts w:ascii="Times New Roman" w:hAnsi="Times New Roman" w:cs="Times New Roman"/>
          <w:sz w:val="20"/>
          <w:szCs w:val="20"/>
        </w:rPr>
        <w:t xml:space="preserve">. </w:t>
      </w:r>
    </w:p>
    <w:p w14:paraId="08C6B6B3"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 further thirteen publications were found that targeted other specific pathogenic agents (e.g. </w:t>
      </w:r>
      <w:proofErr w:type="spellStart"/>
      <w:r w:rsidRPr="00D73FF0">
        <w:rPr>
          <w:rFonts w:ascii="Times New Roman" w:hAnsi="Times New Roman" w:cs="Times New Roman"/>
          <w:i/>
          <w:iCs/>
          <w:sz w:val="20"/>
          <w:szCs w:val="20"/>
        </w:rPr>
        <w:t>Microcytos</w:t>
      </w:r>
      <w:proofErr w:type="spellEnd"/>
      <w:r w:rsidRPr="00D73FF0">
        <w:rPr>
          <w:rFonts w:ascii="Times New Roman" w:hAnsi="Times New Roman" w:cs="Times New Roman"/>
          <w:i/>
          <w:iCs/>
          <w:sz w:val="20"/>
          <w:szCs w:val="20"/>
        </w:rPr>
        <w:t xml:space="preserve"> </w:t>
      </w:r>
      <w:proofErr w:type="spellStart"/>
      <w:r w:rsidRPr="00D73FF0">
        <w:rPr>
          <w:rFonts w:ascii="Times New Roman" w:hAnsi="Times New Roman" w:cs="Times New Roman"/>
          <w:i/>
          <w:iCs/>
          <w:sz w:val="20"/>
          <w:szCs w:val="20"/>
        </w:rPr>
        <w:t>mackini</w:t>
      </w:r>
      <w:proofErr w:type="spellEnd"/>
      <w:r w:rsidRPr="00D73FF0">
        <w:rPr>
          <w:rFonts w:ascii="Times New Roman" w:hAnsi="Times New Roman" w:cs="Times New Roman"/>
          <w:sz w:val="20"/>
          <w:szCs w:val="20"/>
        </w:rPr>
        <w:t>), groups of pathogenic agents (e.g. of ornamental fish) or applied eDNA methods to broader areas of study (e.g. water-borne transmission of viruses) (see Appendix 1, Table 2 for details).</w:t>
      </w:r>
    </w:p>
    <w:p w14:paraId="4A5BB117" w14:textId="77777777" w:rsidR="00BC7F24" w:rsidRPr="00D73FF0" w:rsidRDefault="00BC7F24" w:rsidP="00BC7F24">
      <w:pPr>
        <w:pStyle w:val="ListParagraph"/>
        <w:numPr>
          <w:ilvl w:val="0"/>
          <w:numId w:val="1"/>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Benefits eDNA methods for the detection of aquatic animal pathogenic agents</w:t>
      </w:r>
    </w:p>
    <w:p w14:paraId="3AA5A4CF"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eDNA detection is a promising tool that can be used to complement direct sampling of aquatic animals for surveillance.</w:t>
      </w:r>
      <w:r>
        <w:rPr>
          <w:rFonts w:ascii="Times New Roman" w:hAnsi="Times New Roman" w:cs="Times New Roman"/>
          <w:sz w:val="20"/>
          <w:szCs w:val="20"/>
        </w:rPr>
        <w:t xml:space="preserve"> </w:t>
      </w:r>
      <w:r w:rsidRPr="00D73FF0">
        <w:rPr>
          <w:rFonts w:ascii="Times New Roman" w:hAnsi="Times New Roman" w:cs="Times New Roman"/>
          <w:sz w:val="20"/>
          <w:szCs w:val="20"/>
        </w:rPr>
        <w:t>eDNA methods offer some benefits compared to direct sampling and testing of aquatic animals, including, but not limited, to the following:</w:t>
      </w:r>
    </w:p>
    <w:p w14:paraId="7FB070C9" w14:textId="77777777" w:rsidR="00BC7F24" w:rsidRPr="00D73FF0" w:rsidRDefault="00BC7F24" w:rsidP="00BC7F24">
      <w:pPr>
        <w:pStyle w:val="ListParagraph"/>
        <w:numPr>
          <w:ilvl w:val="0"/>
          <w:numId w:val="3"/>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do not require destructive sampling of aquatic animal hosts. They may be particularly useful for rare or valuable aquatic animals, or difficult to collect wild animals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mykiss)","type":"article-journal","volume":"11"},"uris":["http://www.mendeley.com/documents/?uuid=b3f963ee-0e74-47a2-8bbd-530ce102d167"]}],"mendeley":{"formattedCitation":"(Rusch et al. 2018)","plainTextFormattedCitation":"(Rusch et al. 2018)","previouslyFormattedCitation":"(Rusch et al. 2018)"},"properties":{"noteIndex":0},"schema":"https://github.com/citation-style-language/schema/raw/master/csl-citation.json"}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(e.g. Rusch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2018)</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2EE3DC30" w14:textId="77777777" w:rsidR="00BC7F24" w:rsidRPr="00D73FF0" w:rsidRDefault="00BC7F24" w:rsidP="00BC7F24">
      <w:pPr>
        <w:pStyle w:val="ListParagraph"/>
        <w:numPr>
          <w:ilvl w:val="0"/>
          <w:numId w:val="3"/>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do not require handling of animals, avoiding the stress that associated with obtaining non-destructive tissue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7682D901" w14:textId="77777777" w:rsidR="00BC7F24" w:rsidRPr="00D73FF0" w:rsidRDefault="00BC7F24" w:rsidP="00BC7F24">
      <w:pPr>
        <w:pStyle w:val="ListParagraph"/>
        <w:numPr>
          <w:ilvl w:val="0"/>
          <w:numId w:val="3"/>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Sample collection and sample processing time and associated costs may be reduced substantially compared to collection and processing of individual animal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mykiss)","type":"article-journal","volume":"11"},"uris":["http://www.mendeley.com/documents/?uuid=b3f963ee-0e74-47a2-8bbd-530ce102d167"]}],"mendeley":{"formattedCitation":"(Rusch et al. 2018)","plainTextFormattedCitation":"(Rusch et al. 2018)","previouslyFormattedCitation":"(Rusch et al. 2018)"},"properties":{"noteIndex":0},"schema":"https://github.com/citation-style-language/schema/raw/master/csl-citation.json"}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(Rusch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2018)</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14CBE4B7" w14:textId="77777777" w:rsidR="00BC7F24" w:rsidRDefault="00BC7F24" w:rsidP="00BC7F24">
      <w:pPr>
        <w:pStyle w:val="ListParagraph"/>
        <w:numPr>
          <w:ilvl w:val="0"/>
          <w:numId w:val="3"/>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As environmental samples may contain analyte from the entire, or a large percentage of a target captive population, many fewer samples may be required to detect a pathogenic agent (compared to individual animal samples), even when diagnostic sensitivity of the eDNA method is low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6D1202F0" w14:textId="77777777" w:rsidR="00BC7F24" w:rsidRPr="00D73FF0" w:rsidRDefault="00BC7F24" w:rsidP="00BC7F24">
      <w:pPr>
        <w:pStyle w:val="ListParagraph"/>
        <w:numPr>
          <w:ilvl w:val="0"/>
          <w:numId w:val="3"/>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 same environmental sample can be analysed for the presence of hosts (e.g. see </w:t>
      </w:r>
      <w:proofErr w:type="spellStart"/>
      <w:r w:rsidRPr="00D73FF0">
        <w:rPr>
          <w:rFonts w:ascii="Times New Roman" w:hAnsi="Times New Roman" w:cs="Times New Roman"/>
          <w:sz w:val="20"/>
          <w:szCs w:val="20"/>
        </w:rPr>
        <w:t>Rusch</w:t>
      </w:r>
      <w:proofErr w:type="spellEnd"/>
      <w:r w:rsidRPr="00D73FF0">
        <w:rPr>
          <w:rFonts w:ascii="Times New Roman" w:hAnsi="Times New Roman" w:cs="Times New Roman"/>
          <w:sz w:val="20"/>
          <w:szCs w:val="20"/>
        </w:rPr>
        <w:t xml:space="preserve">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2018) and multiple pathogens.</w:t>
      </w:r>
    </w:p>
    <w:p w14:paraId="6707B5CF" w14:textId="77777777" w:rsidR="00BC7F24" w:rsidRPr="00D73FF0" w:rsidRDefault="00BC7F24" w:rsidP="00BC7F24">
      <w:pPr>
        <w:pStyle w:val="ListParagraph"/>
        <w:numPr>
          <w:ilvl w:val="0"/>
          <w:numId w:val="3"/>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Limitations of eDNA methods</w:t>
      </w:r>
    </w:p>
    <w:p w14:paraId="2DD6B385" w14:textId="77777777" w:rsidR="00BC7F24"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Limitations to the application of eDNA based pathogenic agent detection include, but are not limited to, the following: </w:t>
      </w:r>
      <w:r>
        <w:rPr>
          <w:rFonts w:ascii="Times New Roman" w:hAnsi="Times New Roman" w:cs="Times New Roman"/>
          <w:sz w:val="20"/>
          <w:szCs w:val="20"/>
        </w:rPr>
        <w:br w:type="page"/>
      </w:r>
    </w:p>
    <w:p w14:paraId="20B1CFAF" w14:textId="77777777" w:rsidR="00BC7F24" w:rsidRPr="00D73FF0" w:rsidRDefault="00BC7F24" w:rsidP="00BC7F24">
      <w:pPr>
        <w:pStyle w:val="ListParagraph"/>
        <w:numPr>
          <w:ilvl w:val="0"/>
          <w:numId w:val="4"/>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Very little target DNA may be available in the environmental sample due to dilution in the environment and degradation of nucleic acids. This may negatively impact the sensitivity of the method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6079224C" w14:textId="77777777" w:rsidR="00BC7F24" w:rsidRPr="00D73FF0" w:rsidRDefault="00BC7F24" w:rsidP="00BC7F24">
      <w:pPr>
        <w:pStyle w:val="ListParagraph"/>
        <w:numPr>
          <w:ilvl w:val="0"/>
          <w:numId w:val="4"/>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 concentration of target DNA in an environmental sample will vary due a range of factors such as host density, prevalence and intensity of infection, sampling method (e.g. for water—volume sampled, filter pore size, storage conditions) and environmental conditions (e.g. amount of organic matter). Sensitivity of eDNA methods may, therefore, vary more between localities, surveys undertaken at different time points and target taxa than direct sampling and testing of animal tissues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2225A084" w14:textId="77777777" w:rsidR="00BC7F24" w:rsidRPr="00D73FF0" w:rsidRDefault="00BC7F24" w:rsidP="00BC7F24">
      <w:pPr>
        <w:pStyle w:val="ListParagraph"/>
        <w:numPr>
          <w:ilvl w:val="0"/>
          <w:numId w:val="4"/>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There are formal frameworks to assess diagnostic performance of tests using animal-derived samples, but these have not been developed for eDNA methods. This means that the design of surveys to demonstrate freedom from infection using eDNA methods is problematic. </w:t>
      </w:r>
    </w:p>
    <w:p w14:paraId="188BB8CE" w14:textId="77777777" w:rsidR="00BC7F24" w:rsidRPr="00D73FF0" w:rsidRDefault="00BC7F24" w:rsidP="00BC7F24">
      <w:pPr>
        <w:pStyle w:val="ListParagraph"/>
        <w:numPr>
          <w:ilvl w:val="0"/>
          <w:numId w:val="4"/>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A positive detection of target pathogen DNA in an environmental sample may be more likely to result from a source of contamination compared to animal-derived samples. Similarly, it may not indicate infection of a host animal with the target pathogenic agent.</w:t>
      </w:r>
    </w:p>
    <w:p w14:paraId="433D69F0" w14:textId="77777777" w:rsidR="00BC7F24" w:rsidRPr="00D73FF0" w:rsidRDefault="00BC7F24" w:rsidP="00BC7F24">
      <w:pPr>
        <w:pStyle w:val="ListParagraph"/>
        <w:numPr>
          <w:ilvl w:val="0"/>
          <w:numId w:val="3"/>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Validation of eDNA methods</w:t>
      </w:r>
      <w:r w:rsidRPr="00D73FF0" w:rsidDel="00664F8E">
        <w:rPr>
          <w:rFonts w:ascii="Times New Roman" w:hAnsi="Times New Roman" w:cs="Times New Roman"/>
          <w:b/>
          <w:bCs/>
          <w:sz w:val="20"/>
          <w:szCs w:val="20"/>
        </w:rPr>
        <w:t xml:space="preserve"> </w:t>
      </w:r>
    </w:p>
    <w:p w14:paraId="2615F162"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There is an increasing likelihood that disease management decisions will be made based on results from eDNA studies. It is thus imperative that data generated by eDNA studies is reliable, defendable and executed with high quality assurance standards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{"citationItems":[{"id":"ITEM-1","itemData":{"DOI":"10.1002/edn3.29","ISSN":"2637-4943","abstract":"Background Environmental DNA (eDNA) analysis is increasingly being used to detect the presence and relative abundance of rare species, especially invasive or imperiled aquatic species. The rapid progress in the eDNA field has resulted in numerous studies impacting conservation and management actions. However, standardization of eDNA methods and reporting across the field is yet to be fully established, with one area being the calculation and interpretation of assay limit of detection (LOD) and limit of quantification (LOQ). Aims Here, we propose establishing consistent methods for determining and reporting of LOD and LOQ for single‐species quantitative PCR (qPCR) eDNA studies. Materials &amp; Methods/ Results We utilize datasets from multiple cooperating laboratories to demonstrate both a discrete threshold approach and a curve‐fitting modeling approach for determining LODs and LOQs for eDNA qPCR assays. We also provide details of an R script developed and applied for the modeling method. Discussion/Conclusions Ultimately, standardization of how LOD and LOQ are determined, interpreted, and reported for eDNA assays will allow for more informed interpretation of assay results, more meaningful interlaboratory comparisons of experiments, and enhanced capacity for assessing the relative technical quality and performance of different eDNA qPCR assays.","author":[{"dropping-particle":"","family":"Klymus","given":"Katy E.","non-dropping-particle":"","parse-names":false,"suffix":""},{"dropping-particle":"","family":"Merkes","given":"Christopher M.","non-dropping-particle":"","parse-names":false,"suffix":""},{"dropping-particle":"","family":"Allison","given":"Michael J.","non-dropping-particle":"","parse-names":false,"suffix":""},{"dropping-particle":"","family":"Goldberg","given":"Caren S.","non-dropping-particle":"","parse-names":false,"suffix":""},{"dropping-particle":"","family":"Helbing","given":"Caren C.","non-dropping-particle":"","parse-names":false,"suffix":""},{"dropping-particle":"","family":"Hunter","given":"Margaret E.","non-dropping-particle":"","parse-names":false,"suffix":""},{"dropping-particle":"","family":"Jackson","given":"Craig A.","non-dropping-particle":"","parse-names":false,"suffix":""},{"dropping-particle":"","family":"Lance","given":"Richard F.","non-dropping-particle":"","parse-names":false,"suffix":""},{"dropping-particle":"","family":"Mangan","given":"Anna M.","non-dropping-particle":"","parse-names":false,"suffix":""},{"dropping-particle":"","family":"Monroe","given":"Emy M.","non-dropping-particle":"","parse-names":false,"suffix":""},{"dropping-particle":"","family":"Piaggio","given":"Antoinette J.","non-dropping-particle":"","parse-names":false,"suffix":""},{"dropping-particle":"","family":"Stokdyk","given":"Joel P.","non-dropping-particle":"","parse-names":false,"suffix":""},{"dropping-particle":"","family":"Wilson","given":"Chris C.","non-dropping-particle":"","parse-names":false,"suffix":""},{"dropping-particle":"","family":"Richter","given":"Catherine A.","non-dropping-particle":"","parse-names":false,"suffix":""}],"container-title":"Environmental DNA","id":"ITEM-1","issue":"May","issued":{"date-parts":[["2019"]]},"page":"1-12","title":"Reporting the limits of detection and quantification for environmental DNA assays","type":"article-journal"},"uris":["http://www.mendeley.com/documents/?uuid=70aacdb4-c7a9-4e2f-91c1-e153b920ef53"]}],"mendeley":{"formattedCitation":"(Klymus et al. 2019)","plainTextFormattedCitation":"(Klymus et al. 2019)","previouslyFormattedCitation":"(Klymus et al. 2019)"},"properties":{"noteIndex":0},"schema":"https://github.com/citation-style-language/schema/raw/master/csl-citation.json"}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(Klymus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2019)</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Empirical validation of eDNA based pathogen detection should focus on understanding the causes and consequences of variation in test characteristics across sampling conditions. </w:t>
      </w:r>
    </w:p>
    <w:p w14:paraId="32DA043C"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Chapter 1.1.2.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describes the principles and methods of validation of diagnostic assays for infectious diseases. The recommendations of this chapter are intended for diagnostic testing of animal-derived samples; however, the principles and many of the methods are applicable to eDNA methods. It is recommended that the principles and methods of Chapter 1.1.2. be applied to the validation of eDNA detection methods for OIE listed diseases in all cases where they are applicable.</w:t>
      </w:r>
    </w:p>
    <w:p w14:paraId="70E13E25"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Design and reporting standards are available for diagnostic accuracy studies for methods utilising aquatic animal-derived samples (e.g. Laurin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xml:space="preserve">., 2018). Many of the design and reporting considerations are also applicable to eDNA methods and it is recommended that these standards be applied for eDNA diagnostic accuracy studies. </w:t>
      </w:r>
    </w:p>
    <w:p w14:paraId="0C1A152B" w14:textId="77777777" w:rsidR="00BC7F24"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Additional to the guidance described above, design and reporting considerations have been published specifically for eDNA methods (e.g. </w:t>
      </w:r>
      <w:r w:rsidRPr="00D73FF0">
        <w:rPr>
          <w:rFonts w:ascii="Times New Roman" w:hAnsi="Times New Roman" w:cs="Times New Roman"/>
          <w:noProof/>
          <w:sz w:val="20"/>
          <w:szCs w:val="20"/>
        </w:rPr>
        <w:t xml:space="preserve">Doyle and Uthicke, 2020; </w:t>
      </w:r>
      <w:r w:rsidRPr="00D73FF0">
        <w:rPr>
          <w:rFonts w:ascii="Times New Roman" w:hAnsi="Times New Roman" w:cs="Times New Roman"/>
          <w:sz w:val="20"/>
          <w:szCs w:val="20"/>
        </w:rPr>
        <w:t xml:space="preserve">Goldberg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xml:space="preserve">., 2016; </w:t>
      </w:r>
      <w:proofErr w:type="spellStart"/>
      <w:r w:rsidRPr="00D73FF0">
        <w:rPr>
          <w:rFonts w:ascii="Times New Roman" w:hAnsi="Times New Roman" w:cs="Times New Roman"/>
          <w:sz w:val="20"/>
          <w:szCs w:val="20"/>
        </w:rPr>
        <w:t>Klymus</w:t>
      </w:r>
      <w:proofErr w:type="spellEnd"/>
      <w:r w:rsidRPr="00D73FF0">
        <w:rPr>
          <w:rFonts w:ascii="Times New Roman" w:hAnsi="Times New Roman" w:cs="Times New Roman"/>
          <w:sz w:val="20"/>
          <w:szCs w:val="20"/>
        </w:rPr>
        <w:t xml:space="preserve">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xml:space="preserve">., 2019). Many of these studies report on considerations for detection of macro-organisms rather than pathogenic agents; however, the considerations are generally relevant for eDNA detection methods for pathogenic agents. This guidance will be of particular use for the field collection, </w:t>
      </w:r>
      <w:proofErr w:type="gramStart"/>
      <w:r w:rsidRPr="00D73FF0">
        <w:rPr>
          <w:rFonts w:ascii="Times New Roman" w:hAnsi="Times New Roman" w:cs="Times New Roman"/>
          <w:sz w:val="20"/>
          <w:szCs w:val="20"/>
        </w:rPr>
        <w:t>processing</w:t>
      </w:r>
      <w:proofErr w:type="gramEnd"/>
      <w:r w:rsidRPr="00D73FF0">
        <w:rPr>
          <w:rFonts w:ascii="Times New Roman" w:hAnsi="Times New Roman" w:cs="Times New Roman"/>
          <w:sz w:val="20"/>
          <w:szCs w:val="20"/>
        </w:rPr>
        <w:t xml:space="preserve"> and preservation of eDNA samples.</w:t>
      </w:r>
    </w:p>
    <w:p w14:paraId="5FAAD2AF" w14:textId="77777777" w:rsidR="00BC7F24" w:rsidRPr="00D73FF0" w:rsidRDefault="00BC7F24" w:rsidP="00BC7F24">
      <w:pPr>
        <w:pStyle w:val="ListParagraph"/>
        <w:numPr>
          <w:ilvl w:val="0"/>
          <w:numId w:val="3"/>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 xml:space="preserve">Minimum requirements for inclusion of an eDNA method in the </w:t>
      </w:r>
      <w:r w:rsidRPr="00C63176">
        <w:rPr>
          <w:rFonts w:ascii="Times New Roman" w:hAnsi="Times New Roman" w:cs="Times New Roman"/>
          <w:b/>
          <w:bCs/>
          <w:i/>
          <w:iCs/>
          <w:sz w:val="20"/>
          <w:szCs w:val="20"/>
        </w:rPr>
        <w:t>Aquatic Manual</w:t>
      </w:r>
    </w:p>
    <w:p w14:paraId="37616907"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It is recognised that the validation pathway described in Chapter 1.1.2.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and the design and reporting standards described by Laurin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xml:space="preserve">., 2018 (see above) are not met by many diagnostic methods currently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Indeed, many assays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may be validated only to level 1 or 2 of the validation pathway described in Chapter 1.1.2.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For this reason, the Commission proposes that the following minimum reporting requirements be met for an eDNA method to be</w:t>
      </w:r>
      <w:r>
        <w:rPr>
          <w:rFonts w:ascii="Times New Roman" w:hAnsi="Times New Roman" w:cs="Times New Roman"/>
          <w:sz w:val="20"/>
          <w:szCs w:val="20"/>
        </w:rPr>
        <w:t xml:space="preserve"> </w:t>
      </w:r>
      <w:r w:rsidRPr="00D73FF0">
        <w:rPr>
          <w:rFonts w:ascii="Times New Roman" w:hAnsi="Times New Roman" w:cs="Times New Roman"/>
          <w:sz w:val="20"/>
          <w:szCs w:val="20"/>
        </w:rPr>
        <w:t xml:space="preserve">considered for inclusion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[Adapted from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{"citationItems":[{"id":"ITEM-1","itemData":{"DOI":"10.1111/2041-210X.12595","ISBN":"2041-210X","ISSN":"2041210X","abstract":".Species detection using environmental DNA (eDNA) has tremendous potential for contributing to the understanding of the ecology and conservation of aquatic species. Detecting species using eDNA methods, rather than directly sampling the organisms, can reduce impacts on sensitive species and increase the power of field surveys for rare and elusive species. The sensitivity of eDNA methods, however, requires a heightened awareness and attention to quality assurance and quality control protocols. Additionally, the interpretation of eDNA data demands careful considerations of multiple factors. As eDNA methods have grown in application, diverse approaches have been implemented to address these issues. With interest in eDNA continuing to expand, supportive guidelines for undertaking eDNA studies are greatly needed.\\r\\n\\r\\n2.Environmental DNA researchers from around the world have collaborated to produce this set of guidelines and considerations for implementing eDNA methods to detect aquatic macroorganisms.\\r\\n\\r\\n3.Critical considerations for study design include preventing contamination in the field and the laboratory, choosing appropriate sample analysis methods, validating assays, testing for sample inhibition, and following minimum reporting guidelines. Critical considerations for inference include temporal and spatial processes, limits on correlation of eDNA with abundance, uncertainty of positive and negative results, and potential sources of allochthonous DNA.\\r\\n\\r\\n4.We present a synthesis of knowledge at this stage for application of this new and powerful detection method.","author":[{"dropping-particle":"","family":"Goldberg","given":"Caren S.","non-dropping-particle":"","parse-names":false,"suffix":""},{"dropping-particle":"","family":"Turner","given":"Cameron R.","non-dropping-particle":"","parse-names":false,"suffix":""},{"dropping-particle":"","family":"Deiner","given":"Kristy","non-dropping-particle":"","parse-names":false,"suffix":""},{"dropping-particle":"","family":"Klymus","given":"Katy E.","non-dropping-particle":"","parse-names":false,"suffix":""},{"dropping-particle":"","family":"Thomsen","given":"Philip Francis","non-dropping-particle":"","parse-names":false,"suffix":""},{"dropping-particle":"","family":"Murphy","given":"Melanie A.","non-dropping-particle":"","parse-names":false,"suffix":""},{"dropping-particle":"","family":"Spear","given":"Stephen F.","non-dropping-particle":"","parse-names":false,"suffix":""},{"dropping-particle":"","family":"McKee","given":"Anna","non-dropping-particle":"","parse-names":false,"suffix":""},{"dropping-particle":"","family":"Oyler-McCance","given":"Sara J.","non-dropping-particle":"","parse-names":false,"suffix":""},{"dropping-particle":"","family":"Cornman","given":"Robert Scott","non-dropping-particle":"","parse-names":false,"suffix":""},{"dropping-particle":"","family":"Laramie","given":"Matthew B.","non-dropping-particle":"","parse-names":false,"suffix":""},{"dropping-particle":"","family":"Mahon","given":"Andrew R.","non-dropping-particle":"","parse-names":false,"suffix":""},{"dropping-particle":"","family":"Lance","given":"Richard F.","non-dropping-particle":"","parse-names":false,"suffix":""},{"dropping-particle":"","family":"Pilliod","given":"David S.","non-dropping-particle":"","parse-names":false,"suffix":""},{"dropping-particle":"","family":"Strickler","given":"Katherine M.","non-dropping-particle":"","parse-names":false,"suffix":""},{"dropping-particle":"","family":"Waits","given":"Lisette P.","non-dropping-particle":"","parse-names":false,"suffix":""},{"dropping-particle":"","family":"Fremier","given":"Alexander K.","non-dropping-particle":"","parse-names":false,"suffix":""},{"dropping-particle":"","family":"Takahara","given":"Teruhiko","non-dropping-particle":"","parse-names":false,"suffix":""},{"dropping-particle":"","family":"Herder","given":"Jelger E.","non-dropping-particle":"","parse-names":false,"suffix":""},{"dropping-particle":"","family":"Taberlet","given":"Pierre","non-dropping-particle":"","parse-names":false,"suffix":""}],"container-title":"Methods in Ecology and Evolution","id":"ITEM-1","issue":"11","issued":{"date-parts":[["2016"]]},"page":"1299-1307","title":"Critical considerations for the application of environmental DNA methods to detect aquatic species","type":"article-journal","volume":"7"},"uris":["http://www.mendeley.com/documents/?uuid=dbc6fa27-0896-4872-afb7-802a761df856"]}],"mendeley":{"formattedCitation":"(Goldberg et al. 2016)","manualFormatting":"Goldberg et al. (2016)","plainTextFormattedCitation":"(Goldberg et al. 2016)","previouslyFormattedCitation":"(Goldberg et al. 2016)"},"properties":{"noteIndex":0},"schema":"https://github.com/citation-style-language/schema/raw/master/csl-citation.json"}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Goldberg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(2016)</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w:t>
      </w:r>
    </w:p>
    <w:p w14:paraId="2F070923" w14:textId="77777777" w:rsidR="00BC7F24" w:rsidRDefault="00BC7F24" w:rsidP="00BC7F24">
      <w:pPr>
        <w:pStyle w:val="ListParagraph"/>
        <w:numPr>
          <w:ilvl w:val="0"/>
          <w:numId w:val="2"/>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The intended purpose or application of the assay or protocol need to be clearly defined (note that appropriate purposes of use for eDNA methods in the context of OIE standards are discussed further in section 9).</w:t>
      </w:r>
      <w:r>
        <w:rPr>
          <w:rFonts w:ascii="Times New Roman" w:hAnsi="Times New Roman" w:cs="Times New Roman"/>
          <w:sz w:val="20"/>
          <w:szCs w:val="20"/>
        </w:rPr>
        <w:br w:type="page"/>
      </w:r>
    </w:p>
    <w:p w14:paraId="3BF64427" w14:textId="77777777" w:rsidR="00BC7F24" w:rsidRPr="00D73FF0" w:rsidRDefault="00BC7F24" w:rsidP="00BC7F24">
      <w:pPr>
        <w:pStyle w:val="ListParagraph"/>
        <w:numPr>
          <w:ilvl w:val="0"/>
          <w:numId w:val="2"/>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Description of sample collection methods and precautions taken to eliminate contamination, including collection volume, container material, negative controls, number of replicates and sampling locations/depth. </w:t>
      </w:r>
    </w:p>
    <w:p w14:paraId="71A16E19" w14:textId="77777777" w:rsidR="00BC7F24" w:rsidRPr="00D73FF0" w:rsidRDefault="00BC7F24" w:rsidP="00BC7F24">
      <w:pPr>
        <w:pStyle w:val="ListParagraph"/>
        <w:numPr>
          <w:ilvl w:val="0"/>
          <w:numId w:val="2"/>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the methods used to concentrate the target DNA (precipitation / filtration), filter type (if applicable) and filtering location (e.g. in the field).</w:t>
      </w:r>
    </w:p>
    <w:p w14:paraId="59099E6E" w14:textId="77777777" w:rsidR="00BC7F24" w:rsidRPr="00D73FF0" w:rsidRDefault="00BC7F24" w:rsidP="00BC7F24">
      <w:pPr>
        <w:pStyle w:val="ListParagraph"/>
        <w:numPr>
          <w:ilvl w:val="0"/>
          <w:numId w:val="2"/>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sample preservation and storage (method, temperature, duration).</w:t>
      </w:r>
    </w:p>
    <w:p w14:paraId="610FCAC9" w14:textId="77777777" w:rsidR="00BC7F24" w:rsidRPr="00D73FF0" w:rsidRDefault="00BC7F24" w:rsidP="00BC7F24">
      <w:pPr>
        <w:pStyle w:val="ListParagraph"/>
        <w:numPr>
          <w:ilvl w:val="0"/>
          <w:numId w:val="2"/>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the DNA extraction process including protocol adjustments, contamination precautions, negative controls, and internal positive controls.</w:t>
      </w:r>
    </w:p>
    <w:p w14:paraId="35E35F48" w14:textId="77777777" w:rsidR="00BC7F24" w:rsidRPr="00D73FF0" w:rsidRDefault="00BC7F24" w:rsidP="00BC7F24">
      <w:pPr>
        <w:pStyle w:val="ListParagraph"/>
        <w:numPr>
          <w:ilvl w:val="0"/>
          <w:numId w:val="2"/>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Description of the qPCR design and optimisation according to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{"citationItems":[{"id":"ITEM-1","itemData":{"DOI":"10.1373/clinchem.2008.112797","ISBN":"0099-2240","ISSN":"0009-9147","PMID":"10427056","author":[{"dropping-particle":"","family":"Bustin","given":"Stephen A","non-dropping-particle":"","parse-names":false,"suffix":""},{"dropping-particle":"","family":"Benes","given":"Vladimir","non-dropping-particle":"","parse-names":false,"suffix":""},{"dropping-particle":"","family":"Garson","given":"Jeremy A","non-dropping-particle":"","parse-names":false,"suffix":""},{"dropping-particle":"","family":"Hellemans","given":"Jan","non-dropping-particle":"","parse-names":false,"suffix":""},{"dropping-particle":"","family":"Huggett","given":"Jim","non-dropping-particle":"","parse-names":false,"suffix":""},{"dropping-particle":"","family":"Kubista","given":"Mikael","non-dropping-particle":"","parse-names":false,"suffix":""},{"dropping-particle":"","family":"Mueller","given":"Reinhold","non-dropping-particle":"","parse-names":false,"suffix":""},{"dropping-particle":"","family":"Nolan","given":"Tania","non-dropping-particle":"","parse-names":false,"suffix":""},{"dropping-particle":"","family":"Pfaffl","given":"Michael W","non-dropping-particle":"","parse-names":false,"suffix":""},{"dropping-particle":"","family":"Shipley","given":"Gregory L","non-dropping-particle":"","parse-names":false,"suffix":""},{"dropping-particle":"","family":"Vandesompele","given":"Jo","non-dropping-particle":"","parse-names":false,"suffix":""},{"dropping-particle":"","family":"Wittwer","given":"Carl T","non-dropping-particle":"","parse-names":false,"suffix":""}],"container-title":"Clinical Chemistry","id":"ITEM-1","issue":"4","issued":{"date-parts":[["2009","4","1"]]},"page":"611-622","title":"The MIQE Guidelines: Minimum Information for Publication of Quantitative Real-Time PCR Experiments","type":"article-journal","volume":"55"},"uris":["http://www.mendeley.com/documents/?uuid=3efe7862-35d4-49ea-aea3-b1d831caaf89"]}],"mendeley":{"formattedCitation":"(Bustin et al. 2009)","plainTextFormattedCitation":"(Bustin et al. 2009)","previouslyFormattedCitation":"(Bustin et al. 2009)"},"properties":{"noteIndex":0},"schema":"https://github.com/citation-style-language/schema/raw/master/csl-citation.json"}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(Bustin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2009)</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r>
        <w:rPr>
          <w:rFonts w:ascii="Times New Roman" w:hAnsi="Times New Roman" w:cs="Times New Roman"/>
          <w:sz w:val="20"/>
          <w:szCs w:val="20"/>
        </w:rPr>
        <w:t xml:space="preserve"> </w:t>
      </w:r>
      <w:r w:rsidRPr="00D73FF0">
        <w:rPr>
          <w:rFonts w:ascii="Times New Roman" w:hAnsi="Times New Roman" w:cs="Times New Roman"/>
          <w:sz w:val="20"/>
          <w:szCs w:val="20"/>
        </w:rPr>
        <w:t>Furthermore, real time PCR assays should be validated (Level 1) in an environmental matrix according to its purpose of use.</w:t>
      </w:r>
    </w:p>
    <w:p w14:paraId="6ECB13F6" w14:textId="77777777" w:rsidR="00BC7F24" w:rsidRPr="00D73FF0" w:rsidRDefault="00BC7F24" w:rsidP="00BC7F24">
      <w:pPr>
        <w:pStyle w:val="ListParagraph"/>
        <w:numPr>
          <w:ilvl w:val="0"/>
          <w:numId w:val="3"/>
        </w:numPr>
        <w:spacing w:after="240" w:line="240" w:lineRule="auto"/>
        <w:ind w:left="426" w:hanging="426"/>
        <w:contextualSpacing w:val="0"/>
        <w:jc w:val="both"/>
        <w:rPr>
          <w:rFonts w:ascii="Times New Roman" w:hAnsi="Times New Roman" w:cs="Times New Roman"/>
          <w:b/>
          <w:bCs/>
          <w:sz w:val="20"/>
          <w:szCs w:val="20"/>
        </w:rPr>
      </w:pPr>
      <w:r>
        <w:rPr>
          <w:rFonts w:ascii="Times New Roman" w:hAnsi="Times New Roman" w:cs="Times New Roman"/>
          <w:b/>
          <w:bCs/>
          <w:sz w:val="20"/>
          <w:szCs w:val="20"/>
        </w:rPr>
        <w:t>P</w:t>
      </w:r>
      <w:r w:rsidRPr="00D73FF0">
        <w:rPr>
          <w:rFonts w:ascii="Times New Roman" w:hAnsi="Times New Roman" w:cs="Times New Roman"/>
          <w:b/>
          <w:bCs/>
          <w:sz w:val="20"/>
          <w:szCs w:val="20"/>
        </w:rPr>
        <w:t xml:space="preserve">otential application of eDNA detection methods in the </w:t>
      </w:r>
      <w:bookmarkStart w:id="1" w:name="_Hlk71118799"/>
      <w:r w:rsidRPr="00D73FF0">
        <w:rPr>
          <w:rFonts w:ascii="Times New Roman" w:hAnsi="Times New Roman" w:cs="Times New Roman"/>
          <w:b/>
          <w:bCs/>
          <w:sz w:val="20"/>
          <w:szCs w:val="20"/>
        </w:rPr>
        <w:t>disease</w:t>
      </w:r>
      <w:r>
        <w:rPr>
          <w:rFonts w:ascii="Times New Roman" w:hAnsi="Times New Roman" w:cs="Times New Roman"/>
          <w:b/>
          <w:bCs/>
          <w:sz w:val="20"/>
          <w:szCs w:val="20"/>
        </w:rPr>
        <w:t>-</w:t>
      </w:r>
      <w:r w:rsidRPr="00D73FF0">
        <w:rPr>
          <w:rFonts w:ascii="Times New Roman" w:hAnsi="Times New Roman" w:cs="Times New Roman"/>
          <w:b/>
          <w:bCs/>
          <w:sz w:val="20"/>
          <w:szCs w:val="20"/>
        </w:rPr>
        <w:t xml:space="preserve">specific chapters of the </w:t>
      </w:r>
      <w:r w:rsidRPr="00D73FF0">
        <w:rPr>
          <w:rFonts w:ascii="Times New Roman" w:hAnsi="Times New Roman" w:cs="Times New Roman"/>
          <w:b/>
          <w:bCs/>
          <w:i/>
          <w:iCs/>
          <w:sz w:val="20"/>
          <w:szCs w:val="20"/>
        </w:rPr>
        <w:t>Aquatic Manual</w:t>
      </w:r>
      <w:r w:rsidRPr="00D73FF0">
        <w:rPr>
          <w:rFonts w:ascii="Times New Roman" w:hAnsi="Times New Roman" w:cs="Times New Roman"/>
          <w:b/>
          <w:bCs/>
          <w:sz w:val="20"/>
          <w:szCs w:val="20"/>
        </w:rPr>
        <w:t xml:space="preserve"> </w:t>
      </w:r>
      <w:bookmarkEnd w:id="1"/>
    </w:p>
    <w:p w14:paraId="7FC9B727"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The disease-specific chapters</w:t>
      </w:r>
      <w:r w:rsidRPr="00D73FF0">
        <w:rPr>
          <w:rFonts w:ascii="Times New Roman" w:hAnsi="Times New Roman" w:cs="Times New Roman"/>
          <w:i/>
          <w:iCs/>
          <w:sz w:val="20"/>
          <w:szCs w:val="20"/>
        </w:rPr>
        <w:t xml:space="preserve"> </w:t>
      </w:r>
      <w:r w:rsidRPr="00D73FF0">
        <w:rPr>
          <w:rFonts w:ascii="Times New Roman" w:hAnsi="Times New Roman" w:cs="Times New Roman"/>
          <w:sz w:val="20"/>
          <w:szCs w:val="20"/>
        </w:rPr>
        <w:t>of the</w:t>
      </w:r>
      <w:r w:rsidRPr="00D73FF0">
        <w:rPr>
          <w:rFonts w:ascii="Times New Roman" w:hAnsi="Times New Roman" w:cs="Times New Roman"/>
          <w:i/>
          <w:iCs/>
          <w:sz w:val="20"/>
          <w:szCs w:val="20"/>
        </w:rPr>
        <w:t xml:space="preserve"> Aquatic Manual</w:t>
      </w:r>
      <w:r w:rsidRPr="00D73FF0">
        <w:rPr>
          <w:rFonts w:ascii="Times New Roman" w:hAnsi="Times New Roman" w:cs="Times New Roman"/>
          <w:sz w:val="20"/>
          <w:szCs w:val="20"/>
        </w:rPr>
        <w:t xml:space="preserve"> recommend tests to identify suspect cases and to confirm suspicion for apparently healthy (or those of unknown health status) and clinically affected animals. Apparently healthy populations may fall under suspicion, and therefore be sampled, if there is an epidemiological link(s) to an infected population.</w:t>
      </w:r>
      <w:r>
        <w:rPr>
          <w:rFonts w:ascii="Times New Roman" w:hAnsi="Times New Roman" w:cs="Times New Roman"/>
          <w:sz w:val="20"/>
          <w:szCs w:val="20"/>
        </w:rPr>
        <w:t xml:space="preserve"> </w:t>
      </w:r>
      <w:r w:rsidRPr="00D73FF0">
        <w:rPr>
          <w:rFonts w:ascii="Times New Roman" w:hAnsi="Times New Roman" w:cs="Times New Roman"/>
          <w:sz w:val="20"/>
          <w:szCs w:val="20"/>
        </w:rPr>
        <w:t xml:space="preserve">Geographic proximity to, or movement of aquatic animals or aquatic animal products or equipment, etc., from a known infected population equate to an epidemiological link. Alternatively, healthy populations are sampled in surveys to demonstrate freedom. </w:t>
      </w:r>
    </w:p>
    <w:p w14:paraId="78845DDB" w14:textId="77777777" w:rsidR="00BC7F24" w:rsidRPr="00D73FF0" w:rsidRDefault="00BC7F24" w:rsidP="00BC7F24">
      <w:pPr>
        <w:spacing w:after="240" w:line="240" w:lineRule="auto"/>
        <w:ind w:left="426"/>
        <w:jc w:val="both"/>
        <w:rPr>
          <w:rFonts w:ascii="Times New Roman" w:hAnsi="Times New Roman" w:cs="Times New Roman"/>
          <w:i/>
          <w:iCs/>
          <w:sz w:val="20"/>
          <w:szCs w:val="20"/>
        </w:rPr>
      </w:pPr>
      <w:r w:rsidRPr="00D73FF0">
        <w:rPr>
          <w:rFonts w:ascii="Times New Roman" w:hAnsi="Times New Roman" w:cs="Times New Roman"/>
          <w:sz w:val="20"/>
          <w:szCs w:val="20"/>
        </w:rPr>
        <w:t xml:space="preserve">The following points describe the suitability of evidence from eDNA detection methods for inclusion as case definition criteria in section 6 of the disease-specific chapters of the </w:t>
      </w:r>
      <w:r w:rsidRPr="00D73FF0">
        <w:rPr>
          <w:rFonts w:ascii="Times New Roman" w:hAnsi="Times New Roman" w:cs="Times New Roman"/>
          <w:i/>
          <w:iCs/>
          <w:sz w:val="20"/>
          <w:szCs w:val="20"/>
        </w:rPr>
        <w:t>Aquatic Manual.</w:t>
      </w:r>
    </w:p>
    <w:p w14:paraId="0911A328" w14:textId="77777777" w:rsidR="00BC7F24" w:rsidRPr="00D73FF0" w:rsidRDefault="00BC7F24" w:rsidP="00BC7F24">
      <w:pPr>
        <w:spacing w:after="240" w:line="240" w:lineRule="auto"/>
        <w:ind w:left="851" w:hanging="425"/>
        <w:jc w:val="both"/>
        <w:rPr>
          <w:rFonts w:ascii="Times New Roman" w:hAnsi="Times New Roman" w:cs="Times New Roman"/>
          <w:b/>
          <w:bCs/>
          <w:sz w:val="20"/>
          <w:szCs w:val="20"/>
        </w:rPr>
      </w:pPr>
      <w:r w:rsidRPr="00D73FF0">
        <w:rPr>
          <w:rFonts w:ascii="Times New Roman" w:hAnsi="Times New Roman" w:cs="Times New Roman"/>
          <w:b/>
          <w:bCs/>
          <w:sz w:val="20"/>
          <w:szCs w:val="20"/>
        </w:rPr>
        <w:t>a</w:t>
      </w:r>
      <w:r>
        <w:rPr>
          <w:rFonts w:ascii="Times New Roman" w:hAnsi="Times New Roman" w:cs="Times New Roman"/>
          <w:b/>
          <w:bCs/>
          <w:sz w:val="20"/>
          <w:szCs w:val="20"/>
        </w:rPr>
        <w:t>)</w:t>
      </w:r>
      <w:r>
        <w:rPr>
          <w:rFonts w:ascii="Times New Roman" w:hAnsi="Times New Roman" w:cs="Times New Roman"/>
          <w:b/>
          <w:bCs/>
          <w:sz w:val="20"/>
          <w:szCs w:val="20"/>
        </w:rPr>
        <w:tab/>
      </w:r>
      <w:r w:rsidRPr="00D73FF0">
        <w:rPr>
          <w:rFonts w:ascii="Times New Roman" w:hAnsi="Times New Roman" w:cs="Times New Roman"/>
          <w:b/>
          <w:bCs/>
          <w:sz w:val="20"/>
          <w:szCs w:val="20"/>
        </w:rPr>
        <w:t>Apparently healthy animals</w:t>
      </w:r>
    </w:p>
    <w:p w14:paraId="04ACEE1B" w14:textId="77777777" w:rsidR="00BC7F24" w:rsidRPr="00D73FF0" w:rsidRDefault="00BC7F24" w:rsidP="00BC7F24">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w:t>
      </w:r>
      <w:r>
        <w:rPr>
          <w:rFonts w:ascii="Times New Roman" w:hAnsi="Times New Roman" w:cs="Times New Roman"/>
          <w:b/>
          <w:bCs/>
          <w:sz w:val="20"/>
          <w:szCs w:val="20"/>
        </w:rPr>
        <w:t>)</w:t>
      </w:r>
      <w:r w:rsidRPr="00D73FF0">
        <w:rPr>
          <w:rFonts w:ascii="Times New Roman" w:hAnsi="Times New Roman" w:cs="Times New Roman"/>
          <w:b/>
          <w:bCs/>
          <w:sz w:val="20"/>
          <w:szCs w:val="20"/>
        </w:rPr>
        <w:tab/>
        <w:t xml:space="preserve">Definition of suspect case in a population of apparently healthy animals </w:t>
      </w:r>
    </w:p>
    <w:p w14:paraId="79373A9A" w14:textId="77777777" w:rsidR="00BC7F24" w:rsidRPr="00D73FF0" w:rsidRDefault="00BC7F24" w:rsidP="00BC7F24">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Suitable as a criterion</w:t>
      </w:r>
      <w:r w:rsidRPr="00D73FF0">
        <w:rPr>
          <w:rFonts w:ascii="Times New Roman" w:hAnsi="Times New Roman" w:cs="Times New Roman"/>
          <w:sz w:val="20"/>
          <w:szCs w:val="20"/>
        </w:rPr>
        <w:t xml:space="preserve">. A positive result obtained from an eDNA method recommended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is considered to provide adequate evidence to be included as a criterion for a suspect case. </w:t>
      </w:r>
    </w:p>
    <w:p w14:paraId="56D01A02" w14:textId="77777777" w:rsidR="00BC7F24" w:rsidRPr="00D73FF0" w:rsidRDefault="00BC7F24" w:rsidP="00BC7F24">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ii</w:t>
      </w:r>
      <w:r>
        <w:rPr>
          <w:rFonts w:ascii="Times New Roman" w:hAnsi="Times New Roman" w:cs="Times New Roman"/>
          <w:b/>
          <w:bCs/>
          <w:sz w:val="20"/>
          <w:szCs w:val="20"/>
        </w:rPr>
        <w:t>)</w:t>
      </w:r>
      <w:r w:rsidRPr="00D73FF0">
        <w:rPr>
          <w:rFonts w:ascii="Times New Roman" w:hAnsi="Times New Roman" w:cs="Times New Roman"/>
          <w:b/>
          <w:bCs/>
          <w:sz w:val="20"/>
          <w:szCs w:val="20"/>
        </w:rPr>
        <w:tab/>
        <w:t>Definition of confirmed case in apparently healthy animals</w:t>
      </w:r>
    </w:p>
    <w:p w14:paraId="0882A682" w14:textId="77777777" w:rsidR="00BC7F24" w:rsidRPr="00D73FF0" w:rsidRDefault="00BC7F24" w:rsidP="00BC7F24">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Not suitable as a criterion.</w:t>
      </w:r>
      <w:r w:rsidRPr="00D73FF0">
        <w:rPr>
          <w:rFonts w:ascii="Times New Roman" w:hAnsi="Times New Roman" w:cs="Times New Roman"/>
          <w:sz w:val="20"/>
          <w:szCs w:val="20"/>
        </w:rPr>
        <w:t xml:space="preserve"> A positive result obtained from an eDNA method recommended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is not considered to provide appropriate evidence to confirm a case in apparently healthy animals. Methods utilising animal derived samples are considered more appropriate for criteria to confirm a case. Evidence to confirm a case in apparently healthy animals must meet the requirements of Section 6.1.2. of the relevant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eDNA evidence will not be included as a criterion within this section.</w:t>
      </w:r>
    </w:p>
    <w:p w14:paraId="173A6C4C" w14:textId="77777777" w:rsidR="00BC7F24" w:rsidRPr="00D73FF0" w:rsidRDefault="00BC7F24" w:rsidP="00BC7F24">
      <w:pPr>
        <w:spacing w:after="240" w:line="240" w:lineRule="auto"/>
        <w:ind w:left="851" w:hanging="425"/>
        <w:jc w:val="both"/>
        <w:rPr>
          <w:rFonts w:ascii="Times New Roman" w:hAnsi="Times New Roman" w:cs="Times New Roman"/>
          <w:b/>
          <w:bCs/>
          <w:sz w:val="20"/>
          <w:szCs w:val="20"/>
        </w:rPr>
      </w:pPr>
      <w:r w:rsidRPr="00D73FF0">
        <w:rPr>
          <w:rFonts w:ascii="Times New Roman" w:hAnsi="Times New Roman" w:cs="Times New Roman"/>
          <w:b/>
          <w:bCs/>
          <w:sz w:val="20"/>
          <w:szCs w:val="20"/>
        </w:rPr>
        <w:t>b</w:t>
      </w:r>
      <w:r>
        <w:rPr>
          <w:rFonts w:ascii="Times New Roman" w:hAnsi="Times New Roman" w:cs="Times New Roman"/>
          <w:b/>
          <w:bCs/>
          <w:sz w:val="20"/>
          <w:szCs w:val="20"/>
        </w:rPr>
        <w:t>)</w:t>
      </w:r>
      <w:r>
        <w:rPr>
          <w:rFonts w:ascii="Times New Roman" w:hAnsi="Times New Roman" w:cs="Times New Roman"/>
          <w:b/>
          <w:bCs/>
          <w:sz w:val="20"/>
          <w:szCs w:val="20"/>
        </w:rPr>
        <w:tab/>
      </w:r>
      <w:r w:rsidRPr="00D73FF0">
        <w:rPr>
          <w:rFonts w:ascii="Times New Roman" w:hAnsi="Times New Roman" w:cs="Times New Roman"/>
          <w:b/>
          <w:bCs/>
          <w:sz w:val="20"/>
          <w:szCs w:val="20"/>
        </w:rPr>
        <w:t>Clinically affected animals</w:t>
      </w:r>
    </w:p>
    <w:p w14:paraId="37595363" w14:textId="77777777" w:rsidR="00BC7F24" w:rsidRPr="00D73FF0" w:rsidRDefault="00BC7F24" w:rsidP="00BC7F24">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w:t>
      </w:r>
      <w:r>
        <w:rPr>
          <w:rFonts w:ascii="Times New Roman" w:hAnsi="Times New Roman" w:cs="Times New Roman"/>
          <w:b/>
          <w:bCs/>
          <w:sz w:val="20"/>
          <w:szCs w:val="20"/>
        </w:rPr>
        <w:t>)</w:t>
      </w:r>
      <w:r w:rsidRPr="00D73FF0">
        <w:rPr>
          <w:rFonts w:ascii="Times New Roman" w:hAnsi="Times New Roman" w:cs="Times New Roman"/>
          <w:b/>
          <w:bCs/>
          <w:sz w:val="20"/>
          <w:szCs w:val="20"/>
        </w:rPr>
        <w:tab/>
        <w:t>Definition of a suspect case in clinically affected animals</w:t>
      </w:r>
    </w:p>
    <w:p w14:paraId="78E0C425" w14:textId="77777777" w:rsidR="00BC7F24" w:rsidRPr="00D73FF0" w:rsidRDefault="00BC7F24" w:rsidP="00BC7F24">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Suitable as a criterion.</w:t>
      </w:r>
      <w:r w:rsidRPr="00D73FF0">
        <w:rPr>
          <w:rFonts w:ascii="Times New Roman" w:hAnsi="Times New Roman" w:cs="Times New Roman"/>
          <w:sz w:val="20"/>
          <w:szCs w:val="20"/>
        </w:rPr>
        <w:t xml:space="preserve"> Taking an environmental sample to investigate the cause of disease in a population of clinically affected animals is not generally recommended as samples from clinically affected animals are more likely to lead to pathogenic agent detection and are more suitable for disease investigation. However, under some circumstances, an eDNA method may detect a pathogenic agent and lead to the recognition of previously unobserved clinical signs of disease. In these circumstances, a positive result obtained from an eDNA method recommended in the </w:t>
      </w:r>
      <w:r w:rsidRPr="00D73FF0">
        <w:rPr>
          <w:rFonts w:ascii="Times New Roman" w:hAnsi="Times New Roman" w:cs="Times New Roman"/>
          <w:i/>
          <w:iCs/>
          <w:sz w:val="20"/>
          <w:szCs w:val="20"/>
        </w:rPr>
        <w:t>Aquatic</w:t>
      </w:r>
      <w:r w:rsidRPr="00D73FF0">
        <w:rPr>
          <w:rFonts w:ascii="Times New Roman" w:hAnsi="Times New Roman" w:cs="Times New Roman"/>
          <w:sz w:val="20"/>
          <w:szCs w:val="20"/>
        </w:rPr>
        <w:t xml:space="preserve"> </w:t>
      </w:r>
      <w:r w:rsidRPr="00D73FF0">
        <w:rPr>
          <w:rFonts w:ascii="Times New Roman" w:hAnsi="Times New Roman" w:cs="Times New Roman"/>
          <w:i/>
          <w:iCs/>
          <w:sz w:val="20"/>
          <w:szCs w:val="20"/>
        </w:rPr>
        <w:t>Manual</w:t>
      </w:r>
      <w:r w:rsidRPr="00D73FF0">
        <w:rPr>
          <w:rFonts w:ascii="Times New Roman" w:hAnsi="Times New Roman" w:cs="Times New Roman"/>
          <w:sz w:val="20"/>
          <w:szCs w:val="20"/>
        </w:rPr>
        <w:t xml:space="preserve"> is considered to provide adequate evidence to be included as a criterion for a suspect case.</w:t>
      </w:r>
    </w:p>
    <w:p w14:paraId="61D1AEB5" w14:textId="77777777" w:rsidR="00BC7F24" w:rsidRDefault="00BC7F24" w:rsidP="00BC7F24">
      <w:pPr>
        <w:spacing w:after="240" w:line="240" w:lineRule="auto"/>
        <w:ind w:left="1276" w:hanging="425"/>
        <w:jc w:val="both"/>
        <w:rPr>
          <w:rFonts w:ascii="Times New Roman" w:hAnsi="Times New Roman" w:cs="Times New Roman"/>
          <w:b/>
          <w:bCs/>
          <w:sz w:val="20"/>
          <w:szCs w:val="20"/>
        </w:rPr>
      </w:pPr>
      <w:r>
        <w:rPr>
          <w:rFonts w:ascii="Times New Roman" w:hAnsi="Times New Roman" w:cs="Times New Roman"/>
          <w:b/>
          <w:bCs/>
          <w:sz w:val="20"/>
          <w:szCs w:val="20"/>
        </w:rPr>
        <w:br w:type="page"/>
      </w:r>
    </w:p>
    <w:p w14:paraId="44284BEA" w14:textId="77777777" w:rsidR="00BC7F24" w:rsidRPr="00D73FF0" w:rsidRDefault="00BC7F24" w:rsidP="00BC7F24">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ii</w:t>
      </w:r>
      <w:r>
        <w:rPr>
          <w:rFonts w:ascii="Times New Roman" w:hAnsi="Times New Roman" w:cs="Times New Roman"/>
          <w:b/>
          <w:bCs/>
          <w:sz w:val="20"/>
          <w:szCs w:val="20"/>
        </w:rPr>
        <w:t>)</w:t>
      </w:r>
      <w:r w:rsidRPr="00D73FF0">
        <w:rPr>
          <w:rFonts w:ascii="Times New Roman" w:hAnsi="Times New Roman" w:cs="Times New Roman"/>
          <w:b/>
          <w:bCs/>
          <w:sz w:val="20"/>
          <w:szCs w:val="20"/>
        </w:rPr>
        <w:tab/>
        <w:t xml:space="preserve">Definition of confirmed case </w:t>
      </w:r>
    </w:p>
    <w:p w14:paraId="58F53B01" w14:textId="77777777" w:rsidR="00BC7F24" w:rsidRPr="00D73FF0" w:rsidRDefault="00BC7F24" w:rsidP="00BC7F24">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Not suitable as a criterion.</w:t>
      </w:r>
      <w:r w:rsidRPr="00D73FF0">
        <w:rPr>
          <w:rFonts w:ascii="Times New Roman" w:hAnsi="Times New Roman" w:cs="Times New Roman"/>
          <w:sz w:val="20"/>
          <w:szCs w:val="20"/>
        </w:rPr>
        <w:t xml:space="preserve"> A positive result from an eDNA method recommended in the </w:t>
      </w:r>
      <w:r w:rsidRPr="00D73FF0">
        <w:rPr>
          <w:rFonts w:ascii="Times New Roman" w:hAnsi="Times New Roman" w:cs="Times New Roman"/>
          <w:i/>
          <w:iCs/>
          <w:sz w:val="20"/>
          <w:szCs w:val="20"/>
        </w:rPr>
        <w:t>Aquatic Manual</w:t>
      </w:r>
      <w:r w:rsidRPr="00D73FF0" w:rsidDel="005531B6">
        <w:rPr>
          <w:rFonts w:ascii="Times New Roman" w:hAnsi="Times New Roman" w:cs="Times New Roman"/>
          <w:sz w:val="20"/>
          <w:szCs w:val="20"/>
        </w:rPr>
        <w:t xml:space="preserve"> </w:t>
      </w:r>
      <w:r w:rsidRPr="00D73FF0">
        <w:rPr>
          <w:rFonts w:ascii="Times New Roman" w:hAnsi="Times New Roman" w:cs="Times New Roman"/>
          <w:sz w:val="20"/>
          <w:szCs w:val="20"/>
        </w:rPr>
        <w:t xml:space="preserve">would not be included as a criterion for the confirmation of a pathogenic agent in clinically affected animals (or apparently healthy animals, see point </w:t>
      </w:r>
      <w:r>
        <w:rPr>
          <w:rFonts w:ascii="Times New Roman" w:hAnsi="Times New Roman" w:cs="Times New Roman"/>
          <w:sz w:val="20"/>
          <w:szCs w:val="20"/>
        </w:rPr>
        <w:t>(</w:t>
      </w:r>
      <w:r w:rsidRPr="00D73FF0">
        <w:rPr>
          <w:rFonts w:ascii="Times New Roman" w:hAnsi="Times New Roman" w:cs="Times New Roman"/>
          <w:sz w:val="20"/>
          <w:szCs w:val="20"/>
        </w:rPr>
        <w:t>a</w:t>
      </w:r>
      <w:r>
        <w:rPr>
          <w:rFonts w:ascii="Times New Roman" w:hAnsi="Times New Roman" w:cs="Times New Roman"/>
          <w:sz w:val="20"/>
          <w:szCs w:val="20"/>
        </w:rPr>
        <w:t>)(</w:t>
      </w:r>
      <w:r w:rsidRPr="00D73FF0">
        <w:rPr>
          <w:rFonts w:ascii="Times New Roman" w:hAnsi="Times New Roman" w:cs="Times New Roman"/>
          <w:sz w:val="20"/>
          <w:szCs w:val="20"/>
        </w:rPr>
        <w:t>ii</w:t>
      </w:r>
      <w:r>
        <w:rPr>
          <w:rFonts w:ascii="Times New Roman" w:hAnsi="Times New Roman" w:cs="Times New Roman"/>
          <w:sz w:val="20"/>
          <w:szCs w:val="20"/>
        </w:rPr>
        <w:t>)</w:t>
      </w:r>
      <w:r w:rsidRPr="00D73FF0">
        <w:rPr>
          <w:rFonts w:ascii="Times New Roman" w:hAnsi="Times New Roman" w:cs="Times New Roman"/>
          <w:sz w:val="20"/>
          <w:szCs w:val="20"/>
        </w:rPr>
        <w:t xml:space="preserve"> above). Any positive eDNA test would require further investigation involving the collection and testing of animal tissues as stipulated in the relevant disease</w:t>
      </w:r>
      <w:r>
        <w:rPr>
          <w:rFonts w:ascii="Times New Roman" w:hAnsi="Times New Roman" w:cs="Times New Roman"/>
          <w:sz w:val="20"/>
          <w:szCs w:val="20"/>
        </w:rPr>
        <w:t>-</w:t>
      </w:r>
      <w:r w:rsidRPr="00D73FF0">
        <w:rPr>
          <w:rFonts w:ascii="Times New Roman" w:hAnsi="Times New Roman" w:cs="Times New Roman"/>
          <w:sz w:val="20"/>
          <w:szCs w:val="20"/>
        </w:rPr>
        <w:t xml:space="preserv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Evidence to confirm a case in clinically affected animals must meet the requirements of Section 6.2.2. of the relevant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eDNA evidence will not be included as a criterion within this section.</w:t>
      </w:r>
    </w:p>
    <w:p w14:paraId="52E57DE3" w14:textId="77777777" w:rsidR="00BC7F24" w:rsidRPr="00D73FF0" w:rsidRDefault="00BC7F24" w:rsidP="00BC7F24">
      <w:pPr>
        <w:spacing w:after="240" w:line="240" w:lineRule="auto"/>
        <w:ind w:left="426"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10.</w:t>
      </w:r>
      <w:r>
        <w:rPr>
          <w:rFonts w:ascii="Times New Roman" w:hAnsi="Times New Roman" w:cs="Times New Roman"/>
          <w:b/>
          <w:bCs/>
          <w:sz w:val="20"/>
          <w:szCs w:val="20"/>
        </w:rPr>
        <w:tab/>
      </w:r>
      <w:r w:rsidRPr="00D73FF0">
        <w:rPr>
          <w:rFonts w:ascii="Times New Roman" w:hAnsi="Times New Roman" w:cs="Times New Roman"/>
          <w:b/>
          <w:bCs/>
          <w:sz w:val="20"/>
          <w:szCs w:val="20"/>
        </w:rPr>
        <w:t>Discussion</w:t>
      </w:r>
    </w:p>
    <w:p w14:paraId="491B5637"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 country or zone claiming freedom from a specified pathogenic agent(s) are required to have in place an early detection system for disease incursion. Farmer reporting of morbidity and mortality is a key component of an early detection system. Farmed populations can act as sentinels for wild populations only if they are epidemiologically connected (i.e. through shared water). Otherwise active surveillance in wild populations is required as morbidity or mortality is unlikely to be reported (especially as dead or dying animals are likely to be quickly scavenged or predated). Animal sampling of wild populations can present considerable logistical challenges, especially if populations are remote, sparse or if low numbers make destructive sampling undesirable. eDNA based pathogenic agent detection methods overcome many of the challenges of sampling wild aquatic animals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{"citationItems":[{"id":"ITEM-1","itemData":{"DOI":"10.3354/dao03183","ISSN":"16161580","PMID":"29256431","abstract":"Amphibian chytridiomycosis caused by the fungus Batrachochytrium dendrobatidis (Bd) is an emerging infectious disease that has been associated with mass mortality and extinctions of amphibians worldwide. Environmental DNA (eDNA) techniques have been used to detect the presence of Bd in the environment, but not to detect Bd prior to an amphibian die-off. We collected eDNA using filtered water samples from 13 lakes across Sequoia Kings Canyon National Park. Seven of those sites had populations of mountain yellow-legged frogs, an amphibian highly susceptible to chytridiomycosis, and 3 of those populations experienced a Bd related die-off 1 mo post-eDNA sampling. We detected Bd in eDNA samples that were collected 1 mo prior to the observed Bd-caused die-off at all 3 sites affected by Bd, and we did not detect Bd at the other sites where no die-off was observed. Our study indicates the potential to use eDNA techniques for early detection of Bd in the environment.","author":[{"dropping-particle":"","family":"Kamoroff","given":"Colleen","non-dropping-particle":"","parse-names":false,"suffix":""},{"dropping-particle":"","family":"Goldberg","given":"Caren S.","non-dropping-particle":"","parse-names":false,"suffix":""}],"container-title":"Diseases of Aquatic Organisms","id":"ITEM-1","issue":"1","issued":{"date-parts":[["2017"]]},"page":"75-79","title":"Using environmental DNA for early detection of amphibian chytrid fungus Batrachochytrium dendrobatidis prior to a ranid die-off","type":"article-journal","volume":"127"},"uris":["http://www.mendeley.com/documents/?uuid=33f83a93-92ca-462e-8516-cb37d5f13966"]}],"mendeley":{"formattedCitation":"(Kamoroff &amp; Goldberg 2017)","plainTextFormattedCitation":"(Kamoroff &amp; Goldberg 2017)","previouslyFormattedCitation":"(Kamoroff &amp; Goldberg 2017)"},"properties":{"noteIndex":0},"schema":"https://github.com/citation-style-language/schema/raw/master/csl-citation.json"}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w:t>
      </w:r>
      <w:proofErr w:type="spellStart"/>
      <w:r w:rsidRPr="00D73FF0">
        <w:rPr>
          <w:rFonts w:ascii="Times New Roman" w:hAnsi="Times New Roman" w:cs="Times New Roman"/>
          <w:sz w:val="20"/>
          <w:szCs w:val="20"/>
        </w:rPr>
        <w:t>Kamoroff</w:t>
      </w:r>
      <w:proofErr w:type="spellEnd"/>
      <w:r w:rsidRPr="00D73FF0">
        <w:rPr>
          <w:rFonts w:ascii="Times New Roman" w:hAnsi="Times New Roman" w:cs="Times New Roman"/>
          <w:sz w:val="20"/>
          <w:szCs w:val="20"/>
        </w:rPr>
        <w:t xml:space="preserve"> and Goldberg, 2017; </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{"citationItems":[{"id":"ITEM-1","itemData":{"DOI":"10.1016/j.jenvman.2017.07.045","ISSN":"10958630","PMID":"28738203","abstract":"Following decades of ecologic and economic impacts from a growing list of nonindigenous and invasive species, government and management entities are committing to systematic early- detection monitoring (EDM). This has reinvigorated investment in the science underpinning such monitoring, as well as the need to convey that science in practical terms to those tasked with EDM implementation. Using the context of nonindigenous species in the North American Great Lakes, this article summarizes the current scientific tools and knowledge – including limitations, research needs, and likely future developments – relevant to various aspects of planning and conducting comprehensive EDM. We begin with the scope of the effort, contrasting target-species with broad-spectrum monitoring, reviewing information to support prioritization based on species and locations, and exploring the challenge of moving beyond individual surveys towards a coordinated monitoring network. Next, we discuss survey design, including effort to expend and its allocation over space and time. A section on sample collection and analysis overviews the merits of collecting actual organisms versus shed DNA, reviews the capabilities and limitations of identification by morphology, DNA target markers, or DNA barcoding, and examines best practices for sample handling and data verification. We end with a section addressing the analysis of monitoring data, including methods to evaluate survey performance and characterize and communicate uncertainty. Although the body of science supporting EDM implementation is already substantial, research and information needs (many already actively being addressed) include: better data to support risk assessments that guide choice of taxa and locations to monitor; improved understanding of spatiotemporal scales for sample collection; further development of DNA target markers, reference barcodes, genomic workflows, and synergies between DNA-based and morphology-based taxonomy; and tools and information management systems for better evaluating and communicating survey outcomes and uncertainty.","author":[{"dropping-particle":"","family":"Trebitz","given":"Anett S.","non-dropping-particle":"","parse-names":false,"suffix":""},{"dropping-particle":"","family":"Hoffman","given":"Joel C.","non-dropping-particle":"","parse-names":false,"suffix":""},{"dropping-particle":"","family":"Darling","given":"John A.","non-dropping-particle":"","parse-names":false,"suffix":""},{"dropping-particle":"","family":"Pilgrim","given":"Erik M.","non-dropping-particle":"","parse-names":false,"suffix":""},{"dropping-particle":"","family":"Kelly","given":"John R.","non-dropping-particle":"","parse-names":false,"suffix":""},{"dropping-particle":"","family":"Brown","given":"Emily A.","non-dropping-particle":"","parse-names":false,"suffix":""},{"dropping-particle":"","family":"Chadderton","given":"W. Lindsay","non-dropping-particle":"","parse-names":false,"suffix":""},{"dropping-particle":"","family":"Egan","given":"Scott P.","non-dropping-particle":"","parse-names":false,"suffix":""},{"dropping-particle":"","family":"Grey","given":"Erin K.","non-dropping-particle":"","parse-names":false,"suffix":""},{"dropping-particle":"","family":"Hashsham","given":"Syed A.","non-dropping-particle":"","parse-names":false,"suffix":""},{"dropping-particle":"","family":"Klymus","given":"Katy E.","non-dropping-particle":"","parse-names":false,"suffix":""},{"dropping-particle":"","family":"Mahon","given":"Andrew R.","non-dropping-particle":"","parse-names":false,"suffix":""},{"dropping-particle":"","family":"Ram","given":"Jeffrey L.","non-dropping-particle":"","parse-names":false,"suffix":""},{"dropping-particle":"","family":"Schultz","given":"Martin T.","non-dropping-particle":"","parse-names":false,"suffix":""},{"dropping-particle":"","family":"Stepien","given":"Carol A.","non-dropping-particle":"","parse-names":false,"suffix":""},{"dropping-particle":"","family":"Schardt","given":"James C.","non-dropping-particle":"","parse-names":false,"suffix":""}],"container-title":"Journal of Environmental Management","id":"ITEM-1","issue":"July","issued":{"date-parts":[["2017"]]},"page":"299-310","publisher":"Elsevier Ltd","title":"Early detection monitoring for aquatic non-indigenous species: Optimizing surveillance, incorporating advanced technologies, and identifying research needs","type":"article-journal","volume":"202"},"uris":["http://www.mendeley.com/documents/?uuid=0911f23f-0c13-4fa5-a238-50eef1acc0d7"]}],"mendeley":{"formattedCitation":"(Trebitz et al. 2017)","plainTextFormattedCitation":"(Trebitz et al. 2017)","previouslyFormattedCitation":"(Trebitz et al. 2017)"},"properties":{"noteIndex":0},"schema":"https://github.com/citation-style-language/schema/raw/master/csl-citation.json"}</w:instrText>
      </w:r>
      <w:r w:rsidRPr="00D73FF0">
        <w:rPr>
          <w:rFonts w:ascii="Times New Roman" w:hAnsi="Times New Roman" w:cs="Times New Roman"/>
          <w:sz w:val="20"/>
          <w:szCs w:val="20"/>
        </w:rPr>
        <w:fldChar w:fldCharType="separate"/>
      </w:r>
      <w:proofErr w:type="spellStart"/>
      <w:r w:rsidRPr="00D73FF0">
        <w:rPr>
          <w:rFonts w:ascii="Times New Roman" w:hAnsi="Times New Roman" w:cs="Times New Roman"/>
          <w:sz w:val="20"/>
          <w:szCs w:val="20"/>
        </w:rPr>
        <w:t>Trebitz</w:t>
      </w:r>
      <w:proofErr w:type="spellEnd"/>
      <w:r w:rsidRPr="00D73FF0">
        <w:rPr>
          <w:rFonts w:ascii="Times New Roman" w:hAnsi="Times New Roman" w:cs="Times New Roman"/>
          <w:sz w:val="20"/>
          <w:szCs w:val="20"/>
        </w:rPr>
        <w:t xml:space="preserve">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2017)</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38C75346"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Infection with some listed pathogenic agents, under certain conditions or in some host species, will not invariably cause detectable clinical signs. Early detection systems that rely on observations by farmers (or others) of mortality or morbidity are ineffective in these circumstances and active surveillance would be required. Sampling farmed animals on a frequent basis, and at a level to detect a low prevalence, presents considerable logistical challenges and the cost is likely to be unacceptable. eDNA methods can offer a viable alternative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{"citationItems":[{"id":"ITEM-1","itemData":{"DOI":"10.1007/s10530-019-02152-0","ISBN":"0123456789","ISSN":"1387-3547","abstract":"The global ornamental fish trade enables translocation of exotic aquatic pathogens. In many countries, health certification and visual inspection of imported fish are key components of biosecurity to prevent the introduction of aquatic diseases. However, infected fish do not always exhibit clinical or behavioural signs of disease, and alternatives to visual inspection must be validated. This study examined the use of environmental DNA (eDNA) to detect sub-clinical parasite infections at border control. We simulated the export process of live ornamental fish in which non-infected fish, infected fish, treated fish, and non-infected fish held in contaminated water were packaged and delivered in 48 h. Quantitative PCR (qPCR) was used to detect eDNA of an ectoparasitic monogenean, Neobenedenia girellae, infecting barramundi, Lates calcarifer. The qPCR assay did not reliably detect parasite eDNA under 2 copies/µL from fish with sub-clinical infections (mean parasite intensity = 6.80 ± 4.78 S.D.), suggesting parasite infection loads tested in this study may be too low for reliable detection within the timeframe used to export live ornamental fish. Quantitative PCR tests detected parasite eDNA in 50% of infected fish and 70% of non-infected fish in contaminated transport water. This indicated a high plausibility of false negative detections because of low eDNA concentrations in transport water and false positive detections of DNA from dead parasites in the water. Environmental DNA screening methods for border control biosecurity must overcome limitations posed by low eDNA concentrations in the water, limited timeframes for sample processing, and the essential differentiation between live parasite infections and dead, non-viable parasites.","author":[{"dropping-particle":"","family":"Trujillo-González","given":"A.","non-dropping-particle":"","parse-names":false,"suffix":""},{"dropping-particle":"","family":"Becker","given":"J. A.","non-dropping-particle":"","parse-names":false,"suffix":""},{"dropping-particle":"","family":"Huerlimann","given":"R.","non-dropping-particle":"","parse-names":false,"suffix":""},{"dropping-particle":"","family":"Saunders","given":"R. J.","non-dropping-particle":"","parse-names":false,"suffix":""},{"dropping-particle":"","family":"Hutson","given":"K. S.","non-dropping-particle":"","parse-names":false,"suffix":""}],"container-title":"Biological Invasions","id":"ITEM-1","issue":"3","issued":{"date-parts":[["2019","11","27"]]},"page":"1011-1025","title":"Can environmental DNA be used for aquatic biosecurity in the aquarium fish trade?","type":"article-journal","volume":"0"},"uris":["http://www.mendeley.com/documents/?uuid=fa8c3048-e16d-4643-88bf-d4a5a668e5da"]}],"mendeley":{"formattedCitation":"(Trujillo-González et al. 2019a)","plainTextFormattedCitation":"(Trujillo-González et al. 2019a)","previouslyFormattedCitation":"(Trujillo-González et al. 2019a)"},"properties":{"noteIndex":0},"schema":"https://github.com/citation-style-language/schema/raw/master/csl-citation.json"}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(Trujillo-González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2019a)</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for active surveillance for pathogens which may not reliably cause observable clinical signs. They have the additional advantage that the sample will contain analyte from a large percentage, if not the entire, captive population. </w:t>
      </w:r>
      <w:proofErr w:type="gramStart"/>
      <w:r w:rsidRPr="00D73FF0">
        <w:rPr>
          <w:rFonts w:ascii="Times New Roman" w:hAnsi="Times New Roman" w:cs="Times New Roman"/>
          <w:sz w:val="20"/>
          <w:szCs w:val="20"/>
        </w:rPr>
        <w:t>Thus</w:t>
      </w:r>
      <w:proofErr w:type="gramEnd"/>
      <w:r w:rsidRPr="00D73FF0">
        <w:rPr>
          <w:rFonts w:ascii="Times New Roman" w:hAnsi="Times New Roman" w:cs="Times New Roman"/>
          <w:sz w:val="20"/>
          <w:szCs w:val="20"/>
        </w:rPr>
        <w:t xml:space="preserve"> relatively few environmental, compared with animal samples, are needed (provided sufficient DNA can be extracted).</w:t>
      </w:r>
    </w:p>
    <w:p w14:paraId="51D26F5B"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Farms may be routinely left fallow at the end of a production </w:t>
      </w:r>
      <w:proofErr w:type="gramStart"/>
      <w:r w:rsidRPr="00D73FF0">
        <w:rPr>
          <w:rFonts w:ascii="Times New Roman" w:hAnsi="Times New Roman" w:cs="Times New Roman"/>
          <w:sz w:val="20"/>
          <w:szCs w:val="20"/>
        </w:rPr>
        <w:t>cycle, or</w:t>
      </w:r>
      <w:proofErr w:type="gramEnd"/>
      <w:r w:rsidRPr="00D73FF0">
        <w:rPr>
          <w:rFonts w:ascii="Times New Roman" w:hAnsi="Times New Roman" w:cs="Times New Roman"/>
          <w:sz w:val="20"/>
          <w:szCs w:val="20"/>
        </w:rPr>
        <w:t xml:space="preserve"> following destocking as part of a disease control programme. The results from testing eDNA taken during the fallow period can support decisions about when to restock. eDNA, therefore, provides a more economical and practical alternative to the stocking of sentinel animals to demonstrate elimination of the pathogenic agent.</w:t>
      </w:r>
    </w:p>
    <w:p w14:paraId="1106E87A" w14:textId="77777777" w:rsidR="00BC7F24" w:rsidRPr="00D73FF0" w:rsidRDefault="00BC7F24" w:rsidP="00BC7F24">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 key limitations of eDNA is the lack of validation and diagnostic performance data, meaning that negative results cannot be used to demonstrate disease freedom and positive results always require confirmation using animal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Nevertheless, there are circumstances where the advantages of environmental, over animal, sampling means that eDNA approaches can be usefully integrated into a surveillance programme. </w:t>
      </w:r>
    </w:p>
    <w:p w14:paraId="511151CF" w14:textId="77777777" w:rsidR="00BC7F24" w:rsidRPr="00D73FF0" w:rsidRDefault="00BC7F24" w:rsidP="00BC7F24">
      <w:pPr>
        <w:spacing w:after="240" w:line="240" w:lineRule="auto"/>
        <w:ind w:left="426"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11.</w:t>
      </w:r>
      <w:r>
        <w:rPr>
          <w:rFonts w:ascii="Times New Roman" w:hAnsi="Times New Roman" w:cs="Times New Roman"/>
          <w:b/>
          <w:bCs/>
          <w:sz w:val="20"/>
          <w:szCs w:val="20"/>
        </w:rPr>
        <w:tab/>
      </w:r>
      <w:r w:rsidRPr="00D73FF0">
        <w:rPr>
          <w:rFonts w:ascii="Times New Roman" w:hAnsi="Times New Roman" w:cs="Times New Roman"/>
          <w:b/>
          <w:bCs/>
          <w:sz w:val="20"/>
          <w:szCs w:val="20"/>
        </w:rPr>
        <w:t>Conclusions</w:t>
      </w:r>
    </w:p>
    <w:p w14:paraId="207C4299" w14:textId="77777777" w:rsidR="00BC7F24" w:rsidRPr="00D73FF0" w:rsidRDefault="00BC7F24" w:rsidP="00BC7F24">
      <w:pPr>
        <w:pStyle w:val="ListParagraph"/>
        <w:numPr>
          <w:ilvl w:val="0"/>
          <w:numId w:val="5"/>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eDNA methods may have utility for enhancing passive surveillance systems for early detection; particularly in cases where conditions are not conducive to clinical expression of disease, or populations are not under sufficient observation to detect clinical disease should it occur.</w:t>
      </w:r>
    </w:p>
    <w:p w14:paraId="5A13BD99" w14:textId="77777777" w:rsidR="00BC7F24" w:rsidRPr="00D73FF0" w:rsidRDefault="00BC7F24" w:rsidP="00BC7F24">
      <w:pPr>
        <w:pStyle w:val="ListParagraph"/>
        <w:numPr>
          <w:ilvl w:val="0"/>
          <w:numId w:val="5"/>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may have utility for rare, </w:t>
      </w:r>
      <w:proofErr w:type="gramStart"/>
      <w:r w:rsidRPr="00D73FF0">
        <w:rPr>
          <w:rFonts w:ascii="Times New Roman" w:hAnsi="Times New Roman" w:cs="Times New Roman"/>
          <w:sz w:val="20"/>
          <w:szCs w:val="20"/>
        </w:rPr>
        <w:t>valuable</w:t>
      </w:r>
      <w:proofErr w:type="gramEnd"/>
      <w:r w:rsidRPr="00D73FF0">
        <w:rPr>
          <w:rFonts w:ascii="Times New Roman" w:hAnsi="Times New Roman" w:cs="Times New Roman"/>
          <w:sz w:val="20"/>
          <w:szCs w:val="20"/>
        </w:rPr>
        <w:t xml:space="preserve"> or difficult to collect wild aquatic animals, where direct sampling of animals is undesirable or cost prohibitive. They may also provide cost advantages for disease monitoring programs in production environments.</w:t>
      </w:r>
    </w:p>
    <w:p w14:paraId="425D8481" w14:textId="77777777" w:rsidR="00BC7F24" w:rsidRDefault="00BC7F24" w:rsidP="00BC7F24">
      <w:pPr>
        <w:pStyle w:val="ListParagraph"/>
        <w:numPr>
          <w:ilvl w:val="0"/>
          <w:numId w:val="5"/>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There are currently no frameworks to allow evaluation of diagnostic performance of eDNA methods in a manner </w:t>
      </w:r>
      <w:proofErr w:type="gramStart"/>
      <w:r w:rsidRPr="00D73FF0">
        <w:rPr>
          <w:rFonts w:ascii="Times New Roman" w:hAnsi="Times New Roman" w:cs="Times New Roman"/>
          <w:sz w:val="20"/>
          <w:szCs w:val="20"/>
        </w:rPr>
        <w:t>similar to</w:t>
      </w:r>
      <w:proofErr w:type="gramEnd"/>
      <w:r w:rsidRPr="00D73FF0">
        <w:rPr>
          <w:rFonts w:ascii="Times New Roman" w:hAnsi="Times New Roman" w:cs="Times New Roman"/>
          <w:sz w:val="20"/>
          <w:szCs w:val="20"/>
        </w:rPr>
        <w:t xml:space="preserve"> animal-derived samples. For this reason, evidence from eDNA detection methods cannot be utilised as evidence for self-declaration of freedom from disease.</w:t>
      </w:r>
      <w:r>
        <w:rPr>
          <w:rFonts w:ascii="Times New Roman" w:hAnsi="Times New Roman" w:cs="Times New Roman"/>
          <w:sz w:val="20"/>
          <w:szCs w:val="20"/>
        </w:rPr>
        <w:br w:type="page"/>
      </w:r>
    </w:p>
    <w:p w14:paraId="18B10E40" w14:textId="77777777" w:rsidR="00BC7F24" w:rsidRPr="00D73FF0" w:rsidRDefault="00BC7F24" w:rsidP="00BC7F24">
      <w:pPr>
        <w:pStyle w:val="ListParagraph"/>
        <w:numPr>
          <w:ilvl w:val="0"/>
          <w:numId w:val="5"/>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will be considered for inclusion in disease-specific chapters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if minimum disease and reporting standards as described in this paper are met.</w:t>
      </w:r>
    </w:p>
    <w:p w14:paraId="5B7C685E" w14:textId="77777777" w:rsidR="00BC7F24" w:rsidRPr="00D73FF0" w:rsidRDefault="00BC7F24" w:rsidP="00BC7F24">
      <w:pPr>
        <w:pStyle w:val="ListParagraph"/>
        <w:numPr>
          <w:ilvl w:val="0"/>
          <w:numId w:val="5"/>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Positive results from eDNA methods that has been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will be considered as an appropriate criterion for a suspect case of a disease. </w:t>
      </w:r>
    </w:p>
    <w:p w14:paraId="4EBCC40D" w14:textId="77777777" w:rsidR="00BC7F24" w:rsidRPr="00D73FF0" w:rsidRDefault="00BC7F24" w:rsidP="00BC7F24">
      <w:pPr>
        <w:pStyle w:val="ListParagraph"/>
        <w:numPr>
          <w:ilvl w:val="0"/>
          <w:numId w:val="5"/>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Positive results from an eDNA methods that has been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will </w:t>
      </w:r>
      <w:r w:rsidRPr="00D73FF0">
        <w:rPr>
          <w:rFonts w:ascii="Times New Roman" w:hAnsi="Times New Roman" w:cs="Times New Roman"/>
          <w:sz w:val="20"/>
          <w:szCs w:val="20"/>
          <w:u w:val="single"/>
        </w:rPr>
        <w:t>not</w:t>
      </w:r>
      <w:r w:rsidRPr="00D73FF0">
        <w:rPr>
          <w:rFonts w:ascii="Times New Roman" w:hAnsi="Times New Roman" w:cs="Times New Roman"/>
          <w:sz w:val="20"/>
          <w:szCs w:val="20"/>
        </w:rPr>
        <w:t xml:space="preserve"> be considered as an appropriate criterion for a confirmed case of a disease in either apparently healthy or clinically affected animals. </w:t>
      </w:r>
    </w:p>
    <w:p w14:paraId="3ABA01C3" w14:textId="77777777" w:rsidR="00BC7F24" w:rsidRPr="00D73FF0" w:rsidRDefault="00BC7F24" w:rsidP="00BC7F24">
      <w:pPr>
        <w:spacing w:after="120" w:line="276" w:lineRule="auto"/>
        <w:jc w:val="both"/>
        <w:rPr>
          <w:rFonts w:ascii="Times New Roman" w:hAnsi="Times New Roman" w:cs="Times New Roman"/>
          <w:b/>
          <w:bCs/>
          <w:sz w:val="20"/>
          <w:szCs w:val="20"/>
        </w:rPr>
      </w:pPr>
      <w:r w:rsidRPr="00D73FF0">
        <w:rPr>
          <w:rFonts w:ascii="Times New Roman" w:hAnsi="Times New Roman" w:cs="Times New Roman"/>
          <w:b/>
          <w:bCs/>
          <w:sz w:val="20"/>
          <w:szCs w:val="20"/>
        </w:rPr>
        <w:t>References</w:t>
      </w:r>
    </w:p>
    <w:p w14:paraId="0CE263EB"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Alzaylaee H., Collins R.A., Rinaldi G., Shechonge A., Ngatunga B., Morgan E.R. &amp; Genner M.J.</w:t>
      </w:r>
      <w:r w:rsidRPr="00D73FF0">
        <w:rPr>
          <w:rFonts w:ascii="Times New Roman" w:hAnsi="Times New Roman" w:cs="Times New Roman"/>
          <w:noProof/>
          <w:sz w:val="20"/>
          <w:szCs w:val="20"/>
          <w:lang w:val="en-IE"/>
        </w:rPr>
        <w:t xml:space="preserve"> (2020). Schistosoma species detection by environmental DNA assays in African freshwaters. </w:t>
      </w:r>
      <w:r w:rsidRPr="00D73FF0">
        <w:rPr>
          <w:rFonts w:ascii="Times New Roman" w:hAnsi="Times New Roman" w:cs="Times New Roman"/>
          <w:i/>
          <w:iCs/>
          <w:noProof/>
          <w:sz w:val="20"/>
          <w:szCs w:val="20"/>
          <w:lang w:val="en-IE"/>
        </w:rPr>
        <w:t>PLOS Neglected Tropical Diseases,</w:t>
      </w:r>
      <w:r w:rsidRPr="00D73FF0">
        <w:rPr>
          <w:rFonts w:ascii="Times New Roman" w:hAnsi="Times New Roman" w:cs="Times New Roman"/>
          <w:noProof/>
          <w:sz w:val="20"/>
          <w:szCs w:val="20"/>
          <w:lang w:val="en-IE"/>
        </w:rPr>
        <w:t xml:space="preserve"> 14:e0008129.</w:t>
      </w:r>
    </w:p>
    <w:p w14:paraId="641FEC2F"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Audemard C., Reece K.S. &amp; Burreson E.M.</w:t>
      </w:r>
      <w:r w:rsidRPr="00D73FF0">
        <w:rPr>
          <w:rFonts w:ascii="Times New Roman" w:hAnsi="Times New Roman" w:cs="Times New Roman"/>
          <w:noProof/>
          <w:sz w:val="20"/>
          <w:szCs w:val="20"/>
          <w:lang w:val="en-IE"/>
        </w:rPr>
        <w:t xml:space="preserve"> (2004). Real-Time PCR for Detection and Quantification of the Protistan Parasite </w:t>
      </w:r>
      <w:r w:rsidRPr="00D73FF0">
        <w:rPr>
          <w:rFonts w:ascii="Times New Roman" w:hAnsi="Times New Roman" w:cs="Times New Roman"/>
          <w:i/>
          <w:iCs/>
          <w:noProof/>
          <w:sz w:val="20"/>
          <w:szCs w:val="20"/>
          <w:lang w:val="en-IE"/>
        </w:rPr>
        <w:t>Perkinsus marinus</w:t>
      </w:r>
      <w:r w:rsidRPr="00D73FF0">
        <w:rPr>
          <w:rFonts w:ascii="Times New Roman" w:hAnsi="Times New Roman" w:cs="Times New Roman"/>
          <w:noProof/>
          <w:sz w:val="20"/>
          <w:szCs w:val="20"/>
          <w:lang w:val="en-IE"/>
        </w:rPr>
        <w:t xml:space="preserve"> in Environmental Waters. </w:t>
      </w:r>
      <w:r w:rsidRPr="00D73FF0">
        <w:rPr>
          <w:rFonts w:ascii="Times New Roman" w:hAnsi="Times New Roman" w:cs="Times New Roman"/>
          <w:i/>
          <w:iCs/>
          <w:noProof/>
          <w:sz w:val="20"/>
          <w:szCs w:val="20"/>
          <w:lang w:val="en-IE"/>
        </w:rPr>
        <w:t>Applied Environmental Microbiology,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70</w:t>
      </w:r>
      <w:r w:rsidRPr="00D73FF0">
        <w:rPr>
          <w:rFonts w:ascii="Times New Roman" w:hAnsi="Times New Roman" w:cs="Times New Roman"/>
          <w:noProof/>
          <w:sz w:val="20"/>
          <w:szCs w:val="20"/>
          <w:lang w:val="en-IE"/>
        </w:rPr>
        <w:t>, 6611–6618.</w:t>
      </w:r>
    </w:p>
    <w:p w14:paraId="37B4C1A8"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Bass D., Stentiford G.D., Littlewood D.T.J. &amp; Hartikainen H. </w:t>
      </w:r>
      <w:r w:rsidRPr="00D73FF0">
        <w:rPr>
          <w:rFonts w:ascii="Times New Roman" w:hAnsi="Times New Roman" w:cs="Times New Roman"/>
          <w:noProof/>
          <w:sz w:val="20"/>
          <w:szCs w:val="20"/>
          <w:lang w:val="en-IE"/>
        </w:rPr>
        <w:t xml:space="preserve">(2015). Diverse Applications of Environmental DNA Methods in Parasitology. </w:t>
      </w:r>
      <w:r w:rsidRPr="00D73FF0">
        <w:rPr>
          <w:rFonts w:ascii="Times New Roman" w:hAnsi="Times New Roman" w:cs="Times New Roman"/>
          <w:i/>
          <w:iCs/>
          <w:noProof/>
          <w:sz w:val="20"/>
          <w:szCs w:val="20"/>
          <w:lang w:val="en-IE"/>
        </w:rPr>
        <w:t>Trends in Parasitology,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31</w:t>
      </w:r>
      <w:r w:rsidRPr="00D73FF0">
        <w:rPr>
          <w:rFonts w:ascii="Times New Roman" w:hAnsi="Times New Roman" w:cs="Times New Roman"/>
          <w:noProof/>
          <w:sz w:val="20"/>
          <w:szCs w:val="20"/>
          <w:lang w:val="en-IE"/>
        </w:rPr>
        <w:t>, 499–513.</w:t>
      </w:r>
    </w:p>
    <w:p w14:paraId="2C762A2A"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s-ES_tradnl"/>
        </w:rPr>
      </w:pPr>
      <w:r w:rsidRPr="00D73FF0">
        <w:rPr>
          <w:rFonts w:ascii="Times New Roman" w:hAnsi="Times New Roman" w:cs="Times New Roman"/>
          <w:smallCaps/>
          <w:noProof/>
          <w:sz w:val="20"/>
          <w:szCs w:val="20"/>
          <w:lang w:val="en-IE"/>
        </w:rPr>
        <w:t>Bastos Gomes G., Hutson K.S., Domingos J.A., Chung C., Hayward S., Miller T.L. &amp; Jerry D.R.</w:t>
      </w:r>
      <w:r w:rsidRPr="00D73FF0">
        <w:rPr>
          <w:rFonts w:ascii="Times New Roman" w:hAnsi="Times New Roman" w:cs="Times New Roman"/>
          <w:noProof/>
          <w:sz w:val="20"/>
          <w:szCs w:val="20"/>
          <w:lang w:val="en-IE"/>
        </w:rPr>
        <w:t xml:space="preserve"> (2017). Use of environmental DNA (eDNA) and water quality data to predict protozoan parasites outbreaks in fish farms. </w:t>
      </w:r>
      <w:r w:rsidRPr="00D73FF0">
        <w:rPr>
          <w:rFonts w:ascii="Times New Roman" w:hAnsi="Times New Roman" w:cs="Times New Roman"/>
          <w:i/>
          <w:iCs/>
          <w:noProof/>
          <w:sz w:val="20"/>
          <w:szCs w:val="20"/>
          <w:lang w:val="es-ES_tradnl"/>
        </w:rPr>
        <w:t>Aquaculture,</w:t>
      </w:r>
      <w:r w:rsidRPr="00D73FF0">
        <w:rPr>
          <w:rFonts w:ascii="Times New Roman" w:hAnsi="Times New Roman" w:cs="Times New Roman"/>
          <w:noProof/>
          <w:sz w:val="20"/>
          <w:szCs w:val="20"/>
          <w:lang w:val="es-ES_tradnl"/>
        </w:rPr>
        <w:t xml:space="preserve"> </w:t>
      </w:r>
      <w:r w:rsidRPr="00D73FF0">
        <w:rPr>
          <w:rFonts w:ascii="Times New Roman" w:hAnsi="Times New Roman" w:cs="Times New Roman"/>
          <w:b/>
          <w:bCs/>
          <w:noProof/>
          <w:sz w:val="20"/>
          <w:szCs w:val="20"/>
          <w:lang w:val="es-ES_tradnl"/>
        </w:rPr>
        <w:t>479</w:t>
      </w:r>
      <w:r w:rsidRPr="00D73FF0">
        <w:rPr>
          <w:rFonts w:ascii="Times New Roman" w:hAnsi="Times New Roman" w:cs="Times New Roman"/>
          <w:noProof/>
          <w:sz w:val="20"/>
          <w:szCs w:val="20"/>
          <w:lang w:val="es-ES_tradnl"/>
        </w:rPr>
        <w:t>, 467–473.</w:t>
      </w:r>
    </w:p>
    <w:p w14:paraId="4C3C68D2"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nl-NL"/>
        </w:rPr>
      </w:pPr>
      <w:r w:rsidRPr="00D73FF0">
        <w:rPr>
          <w:rFonts w:ascii="Times New Roman" w:hAnsi="Times New Roman" w:cs="Times New Roman"/>
          <w:smallCaps/>
          <w:noProof/>
          <w:sz w:val="20"/>
          <w:szCs w:val="20"/>
          <w:lang w:val="es-ES_tradnl"/>
        </w:rPr>
        <w:t>Bastos Gomes G., Hutson K.S., Domingos J.A., Infante Villamil S., Huerlimann R., Miller T.L. &amp; Jerry D.R.</w:t>
      </w:r>
      <w:r w:rsidRPr="00D73FF0">
        <w:rPr>
          <w:rFonts w:ascii="Times New Roman" w:hAnsi="Times New Roman" w:cs="Times New Roman"/>
          <w:noProof/>
          <w:sz w:val="20"/>
          <w:szCs w:val="20"/>
          <w:lang w:val="es-ES_tradnl"/>
        </w:rPr>
        <w:t xml:space="preserve"> (2019). </w:t>
      </w:r>
      <w:r w:rsidRPr="00D73FF0">
        <w:rPr>
          <w:rFonts w:ascii="Times New Roman" w:hAnsi="Times New Roman" w:cs="Times New Roman"/>
          <w:noProof/>
          <w:sz w:val="20"/>
          <w:szCs w:val="20"/>
          <w:lang w:val="en-IE"/>
        </w:rPr>
        <w:t xml:space="preserve">Parasitic protozoan interactions with bacterial microbiome in a tropical fish farm. </w:t>
      </w:r>
      <w:r w:rsidRPr="00D73FF0">
        <w:rPr>
          <w:rFonts w:ascii="Times New Roman" w:hAnsi="Times New Roman" w:cs="Times New Roman"/>
          <w:i/>
          <w:iCs/>
          <w:noProof/>
          <w:sz w:val="20"/>
          <w:szCs w:val="20"/>
          <w:lang w:val="nl-NL"/>
        </w:rPr>
        <w:t>Aquaculture,</w:t>
      </w:r>
      <w:r w:rsidRPr="00D73FF0">
        <w:rPr>
          <w:rFonts w:ascii="Times New Roman" w:hAnsi="Times New Roman" w:cs="Times New Roman"/>
          <w:noProof/>
          <w:sz w:val="20"/>
          <w:szCs w:val="20"/>
          <w:lang w:val="nl-NL"/>
        </w:rPr>
        <w:t xml:space="preserve"> </w:t>
      </w:r>
      <w:r w:rsidRPr="00D73FF0">
        <w:rPr>
          <w:rFonts w:ascii="Times New Roman" w:hAnsi="Times New Roman" w:cs="Times New Roman"/>
          <w:b/>
          <w:bCs/>
          <w:noProof/>
          <w:sz w:val="20"/>
          <w:szCs w:val="20"/>
          <w:lang w:val="nl-NL"/>
        </w:rPr>
        <w:t>502</w:t>
      </w:r>
      <w:r w:rsidRPr="00D73FF0">
        <w:rPr>
          <w:rFonts w:ascii="Times New Roman" w:hAnsi="Times New Roman" w:cs="Times New Roman"/>
          <w:noProof/>
          <w:sz w:val="20"/>
          <w:szCs w:val="20"/>
          <w:lang w:val="nl-NL"/>
        </w:rPr>
        <w:t>, 196–201.</w:t>
      </w:r>
    </w:p>
    <w:p w14:paraId="448E18C8"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nl-NL"/>
        </w:rPr>
        <w:t>Bernhardt L., Myrmel M., Lillehaug A., Qviller L. &amp; Weli S.</w:t>
      </w:r>
      <w:r w:rsidRPr="00D73FF0">
        <w:rPr>
          <w:rFonts w:ascii="Times New Roman" w:hAnsi="Times New Roman" w:cs="Times New Roman"/>
          <w:noProof/>
          <w:sz w:val="20"/>
          <w:szCs w:val="20"/>
          <w:lang w:val="nl-NL"/>
        </w:rPr>
        <w:t xml:space="preserve"> (2020). </w:t>
      </w:r>
      <w:r w:rsidRPr="00D73FF0">
        <w:rPr>
          <w:rFonts w:ascii="Times New Roman" w:hAnsi="Times New Roman" w:cs="Times New Roman"/>
          <w:noProof/>
          <w:sz w:val="20"/>
          <w:szCs w:val="20"/>
          <w:lang w:val="en-IE"/>
        </w:rPr>
        <w:t>Filtration, concentration and detection of salmonid alphavirus in seawater during a post-smolt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xml:space="preserve">) cohabitant challenge. </w:t>
      </w:r>
      <w:r w:rsidRPr="00D73FF0">
        <w:rPr>
          <w:rFonts w:ascii="Times New Roman" w:hAnsi="Times New Roman" w:cs="Times New Roman"/>
          <w:i/>
          <w:iCs/>
          <w:noProof/>
          <w:sz w:val="20"/>
          <w:szCs w:val="20"/>
          <w:lang w:val="en-IE"/>
        </w:rPr>
        <w:t>Diseases of Aquatic. Organisms,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144</w:t>
      </w:r>
      <w:r w:rsidRPr="00D73FF0">
        <w:rPr>
          <w:rFonts w:ascii="Times New Roman" w:hAnsi="Times New Roman" w:cs="Times New Roman"/>
          <w:noProof/>
          <w:sz w:val="20"/>
          <w:szCs w:val="20"/>
          <w:lang w:val="en-IE"/>
        </w:rPr>
        <w:t xml:space="preserve">, 61–73. </w:t>
      </w:r>
    </w:p>
    <w:p w14:paraId="1A5977FE"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Brannelly L.A., Wetzel D.P., Ohmer M.E.B., Zimmerman L., Saenz V. &amp; Richards-Zawacki C.L.</w:t>
      </w:r>
      <w:r w:rsidRPr="00D73FF0">
        <w:rPr>
          <w:rFonts w:ascii="Times New Roman" w:hAnsi="Times New Roman" w:cs="Times New Roman"/>
          <w:noProof/>
          <w:sz w:val="20"/>
          <w:szCs w:val="20"/>
          <w:lang w:val="en-IE"/>
        </w:rPr>
        <w:t xml:space="preserve"> (2020). Evaluating environmental DNA as a tool for detecting an amphibian pathogen using an optimized extraction method. </w:t>
      </w:r>
      <w:r w:rsidRPr="00D73FF0">
        <w:rPr>
          <w:rFonts w:ascii="Times New Roman" w:hAnsi="Times New Roman" w:cs="Times New Roman"/>
          <w:i/>
          <w:iCs/>
          <w:noProof/>
          <w:sz w:val="20"/>
          <w:szCs w:val="20"/>
          <w:lang w:val="en-IE"/>
        </w:rPr>
        <w:t>Oecologia,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194</w:t>
      </w:r>
      <w:r w:rsidRPr="00D73FF0">
        <w:rPr>
          <w:rFonts w:ascii="Times New Roman" w:hAnsi="Times New Roman" w:cs="Times New Roman"/>
          <w:noProof/>
          <w:sz w:val="20"/>
          <w:szCs w:val="20"/>
          <w:lang w:val="en-IE"/>
        </w:rPr>
        <w:t xml:space="preserve">, 267–281. </w:t>
      </w:r>
    </w:p>
    <w:p w14:paraId="755CFBC0"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Brunner</w:t>
      </w:r>
      <w:r w:rsidRPr="00D73FF0">
        <w:rPr>
          <w:rFonts w:ascii="Times New Roman" w:hAnsi="Times New Roman" w:cs="Times New Roman"/>
          <w:noProof/>
          <w:sz w:val="20"/>
          <w:szCs w:val="20"/>
          <w:lang w:val="en-IE"/>
        </w:rPr>
        <w:t xml:space="preserve"> J.L. (2020). Pooled samples and eDNA-based detection can facilitate the “clean trade” of aquatic animals. </w:t>
      </w:r>
      <w:r w:rsidRPr="00D73FF0">
        <w:rPr>
          <w:rFonts w:ascii="Times New Roman" w:hAnsi="Times New Roman" w:cs="Times New Roman"/>
          <w:i/>
          <w:iCs/>
          <w:noProof/>
          <w:sz w:val="20"/>
          <w:szCs w:val="20"/>
          <w:lang w:val="en-IE"/>
        </w:rPr>
        <w:t>Scientific Reports,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10280.</w:t>
      </w:r>
    </w:p>
    <w:p w14:paraId="0B32E299" w14:textId="77777777" w:rsidR="00BC7F24" w:rsidRPr="00D73FF0" w:rsidRDefault="00BC7F24" w:rsidP="00BC7F24">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Bustin S.A., Benes V., Garson J.A., Hellemans J., Huggett J., Kubista M., Mueller R., Nolan T., Pfaffl M.W., Shipley G.L., Vandesompele J. &amp; Wittwer C.T. (</w:t>
      </w:r>
      <w:r w:rsidRPr="00D73FF0">
        <w:rPr>
          <w:rFonts w:ascii="Times New Roman" w:hAnsi="Times New Roman" w:cs="Times New Roman"/>
          <w:noProof/>
          <w:sz w:val="20"/>
          <w:szCs w:val="20"/>
          <w:lang w:val="en-IE"/>
        </w:rPr>
        <w:t xml:space="preserve">2009). The MIQE Guidelines: Minimum Information for Publication of Quantitative Real-Time PCR Experiments. </w:t>
      </w:r>
      <w:r w:rsidRPr="00D73FF0">
        <w:rPr>
          <w:rFonts w:ascii="Times New Roman" w:hAnsi="Times New Roman" w:cs="Times New Roman"/>
          <w:i/>
          <w:iCs/>
          <w:noProof/>
          <w:sz w:val="20"/>
          <w:szCs w:val="20"/>
          <w:lang w:val="en-IE"/>
        </w:rPr>
        <w:t>Clinical Chemistry,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55</w:t>
      </w:r>
      <w:r w:rsidRPr="00D73FF0">
        <w:rPr>
          <w:rFonts w:ascii="Times New Roman" w:hAnsi="Times New Roman" w:cs="Times New Roman"/>
          <w:noProof/>
          <w:sz w:val="20"/>
          <w:szCs w:val="20"/>
          <w:lang w:val="en-IE"/>
        </w:rPr>
        <w:t>, 611–622.</w:t>
      </w:r>
    </w:p>
    <w:p w14:paraId="3A2BC626"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Díaz-Ferguson E.E. &amp; Moyer G.R. </w:t>
      </w:r>
      <w:r w:rsidRPr="00D73FF0">
        <w:rPr>
          <w:rFonts w:ascii="Times New Roman" w:hAnsi="Times New Roman" w:cs="Times New Roman"/>
          <w:noProof/>
          <w:sz w:val="20"/>
          <w:szCs w:val="20"/>
          <w:lang w:val="en-IE"/>
        </w:rPr>
        <w:t xml:space="preserve">(2014). History, applications, methodological issues and perspectives for the use environmental DNA (eDNA) in marine and freshwater environments. </w:t>
      </w:r>
      <w:r w:rsidRPr="00D73FF0">
        <w:rPr>
          <w:rFonts w:ascii="Times New Roman" w:hAnsi="Times New Roman" w:cs="Times New Roman"/>
          <w:i/>
          <w:iCs/>
          <w:noProof/>
          <w:sz w:val="20"/>
          <w:szCs w:val="20"/>
          <w:lang w:val="en-IE"/>
        </w:rPr>
        <w:t>Revista de Biologia Tropical,</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62</w:t>
      </w:r>
      <w:r w:rsidRPr="00D73FF0">
        <w:rPr>
          <w:rFonts w:ascii="Times New Roman" w:hAnsi="Times New Roman" w:cs="Times New Roman"/>
          <w:noProof/>
          <w:sz w:val="20"/>
          <w:szCs w:val="20"/>
          <w:lang w:val="en-IE"/>
        </w:rPr>
        <w:t>, 1273–1284.</w:t>
      </w:r>
    </w:p>
    <w:p w14:paraId="3C5D6CFB"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Doyle J. &amp; Uthicke S</w:t>
      </w:r>
      <w:r w:rsidRPr="00D73FF0">
        <w:rPr>
          <w:rFonts w:ascii="Times New Roman" w:hAnsi="Times New Roman" w:cs="Times New Roman"/>
          <w:noProof/>
          <w:sz w:val="20"/>
          <w:szCs w:val="20"/>
          <w:lang w:val="en-IE"/>
        </w:rPr>
        <w:t>. (2020). Sensitive environmental DNA detection via lateral flow assay (dipstick) – A case study on corallivorous crown-of-thorns sea star (</w:t>
      </w:r>
      <w:r w:rsidRPr="00D73FF0">
        <w:rPr>
          <w:rFonts w:ascii="Times New Roman" w:hAnsi="Times New Roman" w:cs="Times New Roman"/>
          <w:i/>
          <w:iCs/>
          <w:noProof/>
          <w:sz w:val="20"/>
          <w:szCs w:val="20"/>
          <w:lang w:val="en-IE"/>
        </w:rPr>
        <w:t>Acanthaster cf . solaris</w:t>
      </w:r>
      <w:r w:rsidRPr="00D73FF0">
        <w:rPr>
          <w:rFonts w:ascii="Times New Roman" w:hAnsi="Times New Roman" w:cs="Times New Roman"/>
          <w:noProof/>
          <w:sz w:val="20"/>
          <w:szCs w:val="20"/>
          <w:lang w:val="en-IE"/>
        </w:rPr>
        <w:t xml:space="preserve">) detection.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1–20.</w:t>
      </w:r>
    </w:p>
    <w:p w14:paraId="672AB678" w14:textId="77777777" w:rsidR="00BC7F24"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Fossøy F., Brandsegg H., Sivertsgård R., Pettersen O., Sandercock B.K., Solem Ø., Hindar K. &amp; Mo T.A. (</w:t>
      </w:r>
      <w:r w:rsidRPr="00D73FF0">
        <w:rPr>
          <w:rFonts w:ascii="Times New Roman" w:hAnsi="Times New Roman" w:cs="Times New Roman"/>
          <w:noProof/>
          <w:sz w:val="20"/>
          <w:szCs w:val="20"/>
          <w:lang w:val="en-IE"/>
        </w:rPr>
        <w:t xml:space="preserve">2020). Monitoring presence and abundance of two gyrodactylid ectoparasites and their salmonid hosts using environmental DNA.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53–62.</w:t>
      </w:r>
      <w:r>
        <w:rPr>
          <w:rFonts w:ascii="Times New Roman" w:hAnsi="Times New Roman" w:cs="Times New Roman"/>
          <w:noProof/>
          <w:sz w:val="20"/>
          <w:szCs w:val="20"/>
          <w:lang w:val="en-IE"/>
        </w:rPr>
        <w:br w:type="page"/>
      </w:r>
    </w:p>
    <w:p w14:paraId="6CA6F8E6"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Goldberg C.S., Turner C.R., Deiner K., Klymus K.E., Thomsen P.F., Murphy M.A., Spear S.F., McKee A., Oyler-McCance S.J., Cornman R.S., Laramie M.B., Mahon A.R., Lance R.F., Pilliod D.S., Strickler K.M., Waits L.P., Fremier A.K., Takahara T., Herder J.E. &amp; Taberlet P.</w:t>
      </w:r>
      <w:r w:rsidRPr="00D73FF0">
        <w:rPr>
          <w:rFonts w:ascii="Times New Roman" w:hAnsi="Times New Roman" w:cs="Times New Roman"/>
          <w:noProof/>
          <w:sz w:val="20"/>
          <w:szCs w:val="20"/>
          <w:lang w:val="en-IE"/>
        </w:rPr>
        <w:t xml:space="preserve"> (2016). Critical considerations for the application of environmental DNA methods to detect aquatic species. </w:t>
      </w:r>
      <w:r w:rsidRPr="00D73FF0">
        <w:rPr>
          <w:rFonts w:ascii="Times New Roman" w:hAnsi="Times New Roman" w:cs="Times New Roman"/>
          <w:i/>
          <w:iCs/>
          <w:noProof/>
          <w:sz w:val="20"/>
          <w:szCs w:val="20"/>
          <w:lang w:val="en-IE"/>
        </w:rPr>
        <w:t>Methods in Ecology and Evolution,</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w:t>
      </w:r>
      <w:r w:rsidRPr="00D73FF0">
        <w:rPr>
          <w:rFonts w:ascii="Times New Roman" w:hAnsi="Times New Roman" w:cs="Times New Roman"/>
          <w:noProof/>
          <w:sz w:val="20"/>
          <w:szCs w:val="20"/>
          <w:lang w:val="en-IE"/>
        </w:rPr>
        <w:t>, 1299–1307.</w:t>
      </w:r>
    </w:p>
    <w:p w14:paraId="5CA7918E"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Gregory A., Munro L.A., Snow M., Urquhart K.L., Murray A.G. &amp; Raynard R.S.</w:t>
      </w:r>
      <w:r w:rsidRPr="00D73FF0">
        <w:rPr>
          <w:rFonts w:ascii="Times New Roman" w:hAnsi="Times New Roman" w:cs="Times New Roman"/>
          <w:noProof/>
          <w:sz w:val="20"/>
          <w:szCs w:val="20"/>
          <w:lang w:val="en-IE"/>
        </w:rPr>
        <w:t xml:space="preserve"> (2009). An experimental investigation on aspects of infectious salmon anaemia virus (ISAV) infection dynamics in seawater Atlantic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xml:space="preserve"> L. </w:t>
      </w:r>
      <w:r w:rsidRPr="00D73FF0">
        <w:rPr>
          <w:rFonts w:ascii="Times New Roman" w:hAnsi="Times New Roman" w:cs="Times New Roman"/>
          <w:i/>
          <w:iCs/>
          <w:noProof/>
          <w:sz w:val="20"/>
          <w:szCs w:val="20"/>
          <w:lang w:val="en-IE"/>
        </w:rPr>
        <w:t>Journal of Fish Diseases,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32</w:t>
      </w:r>
      <w:r w:rsidRPr="00D73FF0">
        <w:rPr>
          <w:rFonts w:ascii="Times New Roman" w:hAnsi="Times New Roman" w:cs="Times New Roman"/>
          <w:noProof/>
          <w:sz w:val="20"/>
          <w:szCs w:val="20"/>
          <w:lang w:val="en-IE"/>
        </w:rPr>
        <w:t>, 481–489.</w:t>
      </w:r>
    </w:p>
    <w:p w14:paraId="2387D41F"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Hall E.M., Crespi E.J., Goldberg C.S. &amp; Brunner J.L. </w:t>
      </w:r>
      <w:r w:rsidRPr="00D73FF0">
        <w:rPr>
          <w:rFonts w:ascii="Times New Roman" w:hAnsi="Times New Roman" w:cs="Times New Roman"/>
          <w:noProof/>
          <w:sz w:val="20"/>
          <w:szCs w:val="20"/>
          <w:lang w:val="en-IE"/>
        </w:rPr>
        <w:t xml:space="preserve">(2016). Evaluating environmental DNA-based quantification of ranavirus infection in wood frog populations. </w:t>
      </w:r>
      <w:r w:rsidRPr="00D73FF0">
        <w:rPr>
          <w:rFonts w:ascii="Times New Roman" w:hAnsi="Times New Roman" w:cs="Times New Roman"/>
          <w:i/>
          <w:iCs/>
          <w:noProof/>
          <w:sz w:val="20"/>
          <w:szCs w:val="20"/>
          <w:lang w:val="en-IE"/>
        </w:rPr>
        <w:t>Molecular Ecology Resources,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16</w:t>
      </w:r>
      <w:r w:rsidRPr="00D73FF0">
        <w:rPr>
          <w:rFonts w:ascii="Times New Roman" w:hAnsi="Times New Roman" w:cs="Times New Roman"/>
          <w:noProof/>
          <w:sz w:val="20"/>
          <w:szCs w:val="20"/>
          <w:lang w:val="en-IE"/>
        </w:rPr>
        <w:t>, :423–433.</w:t>
      </w:r>
    </w:p>
    <w:p w14:paraId="2CE17371"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CA"/>
        </w:rPr>
      </w:pPr>
      <w:r w:rsidRPr="00D73FF0">
        <w:rPr>
          <w:rFonts w:ascii="Times New Roman" w:hAnsi="Times New Roman" w:cs="Times New Roman"/>
          <w:smallCaps/>
          <w:noProof/>
          <w:sz w:val="20"/>
          <w:szCs w:val="20"/>
          <w:lang w:val="en-IE"/>
        </w:rPr>
        <w:t>Haramoto E., Kitajima M., Katayama H. &amp; Ohgaki S.</w:t>
      </w:r>
      <w:r w:rsidRPr="00D73FF0">
        <w:rPr>
          <w:rFonts w:ascii="Times New Roman" w:hAnsi="Times New Roman" w:cs="Times New Roman"/>
          <w:noProof/>
          <w:sz w:val="20"/>
          <w:szCs w:val="20"/>
          <w:lang w:val="en-IE"/>
        </w:rPr>
        <w:t xml:space="preserve"> (2007). Detection of koi herpesvirus DNA in river water in Japan. </w:t>
      </w:r>
      <w:r w:rsidRPr="00D73FF0">
        <w:rPr>
          <w:rFonts w:ascii="Times New Roman" w:hAnsi="Times New Roman" w:cs="Times New Roman"/>
          <w:i/>
          <w:iCs/>
          <w:noProof/>
          <w:sz w:val="20"/>
          <w:szCs w:val="20"/>
          <w:lang w:val="en-CA"/>
        </w:rPr>
        <w:t>Journal of Fish Diseases,</w:t>
      </w:r>
      <w:r w:rsidRPr="00D73FF0">
        <w:rPr>
          <w:rFonts w:ascii="Times New Roman" w:hAnsi="Times New Roman" w:cs="Times New Roman"/>
          <w:noProof/>
          <w:sz w:val="20"/>
          <w:szCs w:val="20"/>
          <w:lang w:val="en-CA"/>
        </w:rPr>
        <w:t xml:space="preserve"> </w:t>
      </w:r>
      <w:r w:rsidRPr="00D73FF0">
        <w:rPr>
          <w:rFonts w:ascii="Times New Roman" w:hAnsi="Times New Roman" w:cs="Times New Roman"/>
          <w:b/>
          <w:bCs/>
          <w:noProof/>
          <w:sz w:val="20"/>
          <w:szCs w:val="20"/>
          <w:lang w:val="en-CA"/>
        </w:rPr>
        <w:t>30</w:t>
      </w:r>
      <w:r w:rsidRPr="00D73FF0">
        <w:rPr>
          <w:rFonts w:ascii="Times New Roman" w:hAnsi="Times New Roman" w:cs="Times New Roman"/>
          <w:noProof/>
          <w:sz w:val="20"/>
          <w:szCs w:val="20"/>
          <w:lang w:val="en-CA"/>
        </w:rPr>
        <w:t>, 59–61.</w:t>
      </w:r>
    </w:p>
    <w:p w14:paraId="60168925"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CA"/>
        </w:rPr>
      </w:pPr>
      <w:r w:rsidRPr="00D73FF0">
        <w:rPr>
          <w:rFonts w:ascii="Times New Roman" w:hAnsi="Times New Roman" w:cs="Times New Roman"/>
          <w:smallCaps/>
          <w:noProof/>
          <w:sz w:val="20"/>
          <w:szCs w:val="20"/>
          <w:lang w:val="en-CA"/>
        </w:rPr>
        <w:t>Holt C., Foster R., Daniels C.L., Van Der Giezen M., Feist S.W., Stentiford G.D. &amp; Bass D.</w:t>
      </w:r>
      <w:r w:rsidRPr="00D73FF0">
        <w:rPr>
          <w:rFonts w:ascii="Times New Roman" w:hAnsi="Times New Roman" w:cs="Times New Roman"/>
          <w:noProof/>
          <w:sz w:val="20"/>
          <w:szCs w:val="20"/>
          <w:lang w:val="en-CA"/>
        </w:rPr>
        <w:t xml:space="preserve"> (2018). </w:t>
      </w:r>
      <w:r w:rsidRPr="00D73FF0">
        <w:rPr>
          <w:rFonts w:ascii="Times New Roman" w:hAnsi="Times New Roman" w:cs="Times New Roman"/>
          <w:i/>
          <w:iCs/>
          <w:noProof/>
          <w:sz w:val="20"/>
          <w:szCs w:val="20"/>
          <w:lang w:val="en-CA"/>
        </w:rPr>
        <w:t>Halioticida noduliformans</w:t>
      </w:r>
      <w:r w:rsidRPr="00D73FF0">
        <w:rPr>
          <w:rFonts w:ascii="Times New Roman" w:hAnsi="Times New Roman" w:cs="Times New Roman"/>
          <w:noProof/>
          <w:sz w:val="20"/>
          <w:szCs w:val="20"/>
          <w:lang w:val="en-CA"/>
        </w:rPr>
        <w:t xml:space="preserve"> infection in eggs of lobster (</w:t>
      </w:r>
      <w:r w:rsidRPr="00D73FF0">
        <w:rPr>
          <w:rFonts w:ascii="Times New Roman" w:hAnsi="Times New Roman" w:cs="Times New Roman"/>
          <w:i/>
          <w:iCs/>
          <w:noProof/>
          <w:sz w:val="20"/>
          <w:szCs w:val="20"/>
          <w:lang w:val="en-CA"/>
        </w:rPr>
        <w:t>Homarus gammarus</w:t>
      </w:r>
      <w:r w:rsidRPr="00D73FF0">
        <w:rPr>
          <w:rFonts w:ascii="Times New Roman" w:hAnsi="Times New Roman" w:cs="Times New Roman"/>
          <w:noProof/>
          <w:sz w:val="20"/>
          <w:szCs w:val="20"/>
          <w:lang w:val="en-CA"/>
        </w:rPr>
        <w:t xml:space="preserve">) reveals its generalist parasitic strategy in marine invertebrates. </w:t>
      </w:r>
      <w:r w:rsidRPr="00D73FF0">
        <w:rPr>
          <w:rFonts w:ascii="Times New Roman" w:hAnsi="Times New Roman" w:cs="Times New Roman"/>
          <w:i/>
          <w:iCs/>
          <w:noProof/>
          <w:sz w:val="20"/>
          <w:szCs w:val="20"/>
          <w:lang w:val="en-CA"/>
        </w:rPr>
        <w:t>Journal of Invertebrate Pathology</w:t>
      </w:r>
      <w:r w:rsidRPr="00D73FF0">
        <w:rPr>
          <w:rFonts w:ascii="Times New Roman" w:hAnsi="Times New Roman" w:cs="Times New Roman"/>
          <w:noProof/>
          <w:sz w:val="20"/>
          <w:szCs w:val="20"/>
          <w:lang w:val="en-CA"/>
        </w:rPr>
        <w:t xml:space="preserve">, </w:t>
      </w:r>
      <w:r w:rsidRPr="00D73FF0">
        <w:rPr>
          <w:rFonts w:ascii="Times New Roman" w:hAnsi="Times New Roman" w:cs="Times New Roman"/>
          <w:b/>
          <w:bCs/>
          <w:noProof/>
          <w:sz w:val="20"/>
          <w:szCs w:val="20"/>
          <w:lang w:val="en-CA"/>
        </w:rPr>
        <w:t>154</w:t>
      </w:r>
      <w:r w:rsidRPr="00D73FF0">
        <w:rPr>
          <w:rFonts w:ascii="Times New Roman" w:hAnsi="Times New Roman" w:cs="Times New Roman"/>
          <w:noProof/>
          <w:sz w:val="20"/>
          <w:szCs w:val="20"/>
          <w:lang w:val="en-CA"/>
        </w:rPr>
        <w:t>, 109–116.</w:t>
      </w:r>
    </w:p>
    <w:p w14:paraId="5B983B23"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Honjo M.N., Minamoto T. &amp; Kawabata Z.</w:t>
      </w:r>
      <w:r w:rsidRPr="00D73FF0">
        <w:rPr>
          <w:rFonts w:ascii="Times New Roman" w:hAnsi="Times New Roman" w:cs="Times New Roman"/>
          <w:noProof/>
          <w:sz w:val="20"/>
          <w:szCs w:val="20"/>
          <w:lang w:val="en-IE"/>
        </w:rPr>
        <w:t xml:space="preserve"> (2012). Reservoirs of Cyprinid herpesvirus 3 (CyHV-3) DNA in sediments of natural lakes and ponds. </w:t>
      </w:r>
      <w:r w:rsidRPr="00D73FF0">
        <w:rPr>
          <w:rFonts w:ascii="Times New Roman" w:hAnsi="Times New Roman" w:cs="Times New Roman"/>
          <w:i/>
          <w:iCs/>
          <w:noProof/>
          <w:sz w:val="20"/>
          <w:szCs w:val="20"/>
          <w:lang w:val="en-IE"/>
        </w:rPr>
        <w:t>Veterinary Microbiology,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155</w:t>
      </w:r>
      <w:r w:rsidRPr="00D73FF0">
        <w:rPr>
          <w:rFonts w:ascii="Times New Roman" w:hAnsi="Times New Roman" w:cs="Times New Roman"/>
          <w:noProof/>
          <w:sz w:val="20"/>
          <w:szCs w:val="20"/>
          <w:lang w:val="en-IE"/>
        </w:rPr>
        <w:t xml:space="preserve">, 183–190. </w:t>
      </w:r>
    </w:p>
    <w:p w14:paraId="7A21A0BA"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Honjo M.N., Minamoto T., Matsui K., Uchii K., Yamanaka H., Suzuki A.A., Kohmatsu Y., Iida T. &amp; Kawabata Z.</w:t>
      </w:r>
      <w:r w:rsidRPr="00D73FF0">
        <w:rPr>
          <w:rFonts w:ascii="Times New Roman" w:hAnsi="Times New Roman" w:cs="Times New Roman"/>
          <w:noProof/>
          <w:sz w:val="20"/>
          <w:szCs w:val="20"/>
          <w:lang w:val="en-IE"/>
        </w:rPr>
        <w:t xml:space="preserve"> (2010). Quantification of cyprinid herpesvirus 3 in environmental water by using an external standard virus. </w:t>
      </w:r>
      <w:r w:rsidRPr="00D73FF0">
        <w:rPr>
          <w:rFonts w:ascii="Times New Roman" w:hAnsi="Times New Roman" w:cs="Times New Roman"/>
          <w:i/>
          <w:iCs/>
          <w:noProof/>
          <w:sz w:val="20"/>
          <w:szCs w:val="20"/>
          <w:lang w:val="en-IE"/>
        </w:rPr>
        <w:t>Applied and Environmental Microbiology,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76</w:t>
      </w:r>
      <w:r w:rsidRPr="00D73FF0">
        <w:rPr>
          <w:rFonts w:ascii="Times New Roman" w:hAnsi="Times New Roman" w:cs="Times New Roman"/>
          <w:noProof/>
          <w:sz w:val="20"/>
          <w:szCs w:val="20"/>
          <w:lang w:val="en-IE"/>
        </w:rPr>
        <w:t>, 161–168.</w:t>
      </w:r>
    </w:p>
    <w:p w14:paraId="771FF8CD"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Huver J.R., Koprivnikar J., Johnson P.T.J. &amp; Whyard S.</w:t>
      </w:r>
      <w:r w:rsidRPr="00D73FF0">
        <w:rPr>
          <w:rFonts w:ascii="Times New Roman" w:hAnsi="Times New Roman" w:cs="Times New Roman"/>
          <w:noProof/>
          <w:sz w:val="20"/>
          <w:szCs w:val="20"/>
          <w:lang w:val="en-IE"/>
        </w:rPr>
        <w:t xml:space="preserve"> (2015). Development and application of an eDNA method to detect and quantify a pathogenic parasite in aquatic ecosystems. </w:t>
      </w:r>
      <w:r w:rsidRPr="00D73FF0">
        <w:rPr>
          <w:rFonts w:ascii="Times New Roman" w:hAnsi="Times New Roman" w:cs="Times New Roman"/>
          <w:i/>
          <w:iCs/>
          <w:noProof/>
          <w:sz w:val="20"/>
          <w:szCs w:val="20"/>
          <w:lang w:val="en-IE"/>
        </w:rPr>
        <w:t>Ecological Applications,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25</w:t>
      </w:r>
      <w:r w:rsidRPr="00D73FF0">
        <w:rPr>
          <w:rFonts w:ascii="Times New Roman" w:hAnsi="Times New Roman" w:cs="Times New Roman"/>
          <w:noProof/>
          <w:sz w:val="20"/>
          <w:szCs w:val="20"/>
          <w:lang w:val="en-IE"/>
        </w:rPr>
        <w:t>, 991–1002.</w:t>
      </w:r>
    </w:p>
    <w:p w14:paraId="2098CCC8"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Jørgensen L., Von G., Nielsen J.W., Villadsen M.K., Vismann B., Dalvin S., Mathiessen H., Madsen L., Kania P.W. &amp; Buchmann K.</w:t>
      </w:r>
      <w:r w:rsidRPr="00D73FF0">
        <w:rPr>
          <w:rFonts w:ascii="Times New Roman" w:hAnsi="Times New Roman" w:cs="Times New Roman"/>
          <w:noProof/>
          <w:sz w:val="20"/>
          <w:szCs w:val="20"/>
          <w:lang w:val="en-IE"/>
        </w:rPr>
        <w:t xml:space="preserve"> (2020). A non-lethal method for detection of </w:t>
      </w:r>
      <w:r w:rsidRPr="00D73FF0">
        <w:rPr>
          <w:rFonts w:ascii="Times New Roman" w:hAnsi="Times New Roman" w:cs="Times New Roman"/>
          <w:i/>
          <w:iCs/>
          <w:noProof/>
          <w:sz w:val="20"/>
          <w:szCs w:val="20"/>
          <w:lang w:val="en-IE"/>
        </w:rPr>
        <w:t>Bonamia ostreae</w:t>
      </w:r>
      <w:r w:rsidRPr="00D73FF0">
        <w:rPr>
          <w:rFonts w:ascii="Times New Roman" w:hAnsi="Times New Roman" w:cs="Times New Roman"/>
          <w:noProof/>
          <w:sz w:val="20"/>
          <w:szCs w:val="20"/>
          <w:lang w:val="en-IE"/>
        </w:rPr>
        <w:t xml:space="preserve"> in flat oyster (</w:t>
      </w:r>
      <w:r w:rsidRPr="00D73FF0">
        <w:rPr>
          <w:rFonts w:ascii="Times New Roman" w:hAnsi="Times New Roman" w:cs="Times New Roman"/>
          <w:i/>
          <w:iCs/>
          <w:noProof/>
          <w:sz w:val="20"/>
          <w:szCs w:val="20"/>
          <w:lang w:val="en-IE"/>
        </w:rPr>
        <w:t>Ostrea edulis</w:t>
      </w:r>
      <w:r w:rsidRPr="00D73FF0">
        <w:rPr>
          <w:rFonts w:ascii="Times New Roman" w:hAnsi="Times New Roman" w:cs="Times New Roman"/>
          <w:noProof/>
          <w:sz w:val="20"/>
          <w:szCs w:val="20"/>
          <w:lang w:val="en-IE"/>
        </w:rPr>
        <w:t xml:space="preserve">) using environmental DNA. </w:t>
      </w:r>
      <w:r w:rsidRPr="00D73FF0">
        <w:rPr>
          <w:rFonts w:ascii="Times New Roman" w:hAnsi="Times New Roman" w:cs="Times New Roman"/>
          <w:i/>
          <w:iCs/>
          <w:noProof/>
          <w:sz w:val="20"/>
          <w:szCs w:val="20"/>
          <w:lang w:val="en-IE"/>
        </w:rPr>
        <w:t>Scientific Reports,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1–9.</w:t>
      </w:r>
    </w:p>
    <w:p w14:paraId="20F4D552"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Julian J.T., Glenney G.W. &amp; Rees C.</w:t>
      </w:r>
      <w:r w:rsidRPr="00D73FF0">
        <w:rPr>
          <w:rFonts w:ascii="Times New Roman" w:hAnsi="Times New Roman" w:cs="Times New Roman"/>
          <w:noProof/>
          <w:sz w:val="20"/>
          <w:szCs w:val="20"/>
          <w:lang w:val="en-IE"/>
        </w:rPr>
        <w:t xml:space="preserve"> (2019). Evaluating observer bias and seasonal detection rates in amphibian pathogen eDNA collections by citizen scientists. </w:t>
      </w:r>
      <w:r w:rsidRPr="00D73FF0">
        <w:rPr>
          <w:rFonts w:ascii="Times New Roman" w:hAnsi="Times New Roman" w:cs="Times New Roman"/>
          <w:i/>
          <w:iCs/>
          <w:noProof/>
          <w:sz w:val="20"/>
          <w:szCs w:val="20"/>
          <w:lang w:val="en-IE"/>
        </w:rPr>
        <w:t xml:space="preserve">Diseases of Aquatic Organisms, </w:t>
      </w:r>
      <w:r w:rsidRPr="00D73FF0">
        <w:rPr>
          <w:rFonts w:ascii="Times New Roman" w:hAnsi="Times New Roman" w:cs="Times New Roman"/>
          <w:b/>
          <w:bCs/>
          <w:noProof/>
          <w:sz w:val="20"/>
          <w:szCs w:val="20"/>
          <w:lang w:val="en-IE"/>
        </w:rPr>
        <w:t>134</w:t>
      </w:r>
      <w:r w:rsidRPr="00D73FF0">
        <w:rPr>
          <w:rFonts w:ascii="Times New Roman" w:hAnsi="Times New Roman" w:cs="Times New Roman"/>
          <w:noProof/>
          <w:sz w:val="20"/>
          <w:szCs w:val="20"/>
          <w:lang w:val="en-IE"/>
        </w:rPr>
        <w:t>, 15–24.</w:t>
      </w:r>
    </w:p>
    <w:p w14:paraId="6BA87B42"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Kamoroff C. &amp; Goldberg C.S.</w:t>
      </w:r>
      <w:r w:rsidRPr="00D73FF0">
        <w:rPr>
          <w:rFonts w:ascii="Times New Roman" w:hAnsi="Times New Roman" w:cs="Times New Roman"/>
          <w:noProof/>
          <w:sz w:val="20"/>
          <w:szCs w:val="20"/>
          <w:lang w:val="en-IE"/>
        </w:rPr>
        <w:t xml:space="preserve"> (2017). Using environmental DNA for early detection of amphibian chytrid fungus Batrachochytrium dendrobatidis prior to a ranid die-off. </w:t>
      </w:r>
      <w:r w:rsidRPr="00D73FF0">
        <w:rPr>
          <w:rFonts w:ascii="Times New Roman" w:hAnsi="Times New Roman" w:cs="Times New Roman"/>
          <w:i/>
          <w:iCs/>
          <w:noProof/>
          <w:sz w:val="20"/>
          <w:szCs w:val="20"/>
          <w:lang w:val="en-IE"/>
        </w:rPr>
        <w:t>Diseases</w:t>
      </w:r>
      <w:r>
        <w:rPr>
          <w:rFonts w:ascii="Times New Roman" w:hAnsi="Times New Roman" w:cs="Times New Roman"/>
          <w:i/>
          <w:iCs/>
          <w:noProof/>
          <w:sz w:val="20"/>
          <w:szCs w:val="20"/>
          <w:lang w:val="en-IE"/>
        </w:rPr>
        <w:t xml:space="preserve"> </w:t>
      </w:r>
      <w:r w:rsidRPr="00D73FF0">
        <w:rPr>
          <w:rFonts w:ascii="Times New Roman" w:hAnsi="Times New Roman" w:cs="Times New Roman"/>
          <w:i/>
          <w:iCs/>
          <w:noProof/>
          <w:sz w:val="20"/>
          <w:szCs w:val="20"/>
          <w:lang w:val="en-IE"/>
        </w:rPr>
        <w:t>of Aquatic Organisms,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127</w:t>
      </w:r>
      <w:r w:rsidRPr="00D73FF0">
        <w:rPr>
          <w:rFonts w:ascii="Times New Roman" w:hAnsi="Times New Roman" w:cs="Times New Roman"/>
          <w:noProof/>
          <w:sz w:val="20"/>
          <w:szCs w:val="20"/>
          <w:lang w:val="en-IE"/>
        </w:rPr>
        <w:t>, 75–79.</w:t>
      </w:r>
    </w:p>
    <w:p w14:paraId="398D9654"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Klymus K.E., Merkes C.M., Allison M.J., Goldberg C.S., Helbing C.C., Hunter M.E., Jackson C.A., Lance R.F., Mangan A.M., Monroe E.M., Piaggio A.J., Stokdyk J.P., Wilson C.C. &amp; Richter C.A.</w:t>
      </w:r>
      <w:r w:rsidRPr="00D73FF0">
        <w:rPr>
          <w:rFonts w:ascii="Times New Roman" w:hAnsi="Times New Roman" w:cs="Times New Roman"/>
          <w:noProof/>
          <w:sz w:val="20"/>
          <w:szCs w:val="20"/>
          <w:lang w:val="en-IE"/>
        </w:rPr>
        <w:t xml:space="preserve"> (2019). Reporting the limits of detection and quantification for environmental DNA assays.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1–12.</w:t>
      </w:r>
    </w:p>
    <w:p w14:paraId="07CCD808" w14:textId="77777777" w:rsidR="00BC7F24" w:rsidRPr="00D73FF0" w:rsidRDefault="00BC7F24" w:rsidP="00BC7F24">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Kongrueng J., Yingkajorn M., Bunpa S., Sermwittayawong N., Singkhamanan K. &amp; Vuddhakul V.</w:t>
      </w:r>
      <w:r w:rsidRPr="00D73FF0">
        <w:rPr>
          <w:rFonts w:ascii="Times New Roman" w:hAnsi="Times New Roman" w:cs="Times New Roman"/>
          <w:noProof/>
          <w:sz w:val="20"/>
          <w:szCs w:val="20"/>
          <w:lang w:val="en-IE"/>
        </w:rPr>
        <w:t xml:space="preserve"> (2015). Characterization of </w:t>
      </w:r>
      <w:r w:rsidRPr="00D73FF0">
        <w:rPr>
          <w:rFonts w:ascii="Times New Roman" w:hAnsi="Times New Roman" w:cs="Times New Roman"/>
          <w:i/>
          <w:iCs/>
          <w:noProof/>
          <w:sz w:val="20"/>
          <w:szCs w:val="20"/>
          <w:lang w:val="en-IE"/>
        </w:rPr>
        <w:t>Vibrio parahaemolyticus</w:t>
      </w:r>
      <w:r w:rsidRPr="00D73FF0">
        <w:rPr>
          <w:rFonts w:ascii="Times New Roman" w:hAnsi="Times New Roman" w:cs="Times New Roman"/>
          <w:noProof/>
          <w:sz w:val="20"/>
          <w:szCs w:val="20"/>
          <w:lang w:val="en-IE"/>
        </w:rPr>
        <w:t xml:space="preserve"> causing acute hepatopancreatic necrosis disease in southern Thailand. </w:t>
      </w:r>
      <w:r w:rsidRPr="00D73FF0">
        <w:rPr>
          <w:rFonts w:ascii="Times New Roman" w:hAnsi="Times New Roman" w:cs="Times New Roman"/>
          <w:i/>
          <w:iCs/>
          <w:noProof/>
          <w:sz w:val="20"/>
          <w:szCs w:val="20"/>
          <w:lang w:val="en-IE"/>
        </w:rPr>
        <w:t>Journal of Fish Diseases,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38</w:t>
      </w:r>
      <w:r w:rsidRPr="00D73FF0">
        <w:rPr>
          <w:rFonts w:ascii="Times New Roman" w:hAnsi="Times New Roman" w:cs="Times New Roman"/>
          <w:noProof/>
          <w:sz w:val="20"/>
          <w:szCs w:val="20"/>
          <w:lang w:val="en-IE"/>
        </w:rPr>
        <w:t>, 957–966.</w:t>
      </w:r>
    </w:p>
    <w:p w14:paraId="58885145"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bookmarkStart w:id="2" w:name="_Hlk71280145"/>
      <w:r w:rsidRPr="00D73FF0">
        <w:rPr>
          <w:rFonts w:ascii="Times New Roman" w:hAnsi="Times New Roman" w:cs="Times New Roman"/>
          <w:smallCaps/>
          <w:noProof/>
          <w:sz w:val="20"/>
          <w:szCs w:val="20"/>
          <w:lang w:val="en-IE"/>
        </w:rPr>
        <w:t>Lafferty K.D. &amp; Ben-Horin T.</w:t>
      </w:r>
      <w:bookmarkEnd w:id="2"/>
      <w:r w:rsidRPr="00D73FF0">
        <w:rPr>
          <w:rFonts w:ascii="Times New Roman" w:hAnsi="Times New Roman" w:cs="Times New Roman"/>
          <w:smallCaps/>
          <w:noProof/>
          <w:sz w:val="20"/>
          <w:szCs w:val="20"/>
          <w:lang w:val="en-IE"/>
        </w:rPr>
        <w:t xml:space="preserve"> </w:t>
      </w:r>
      <w:r w:rsidRPr="00D73FF0">
        <w:rPr>
          <w:rFonts w:ascii="Times New Roman" w:hAnsi="Times New Roman" w:cs="Times New Roman"/>
          <w:noProof/>
          <w:sz w:val="20"/>
          <w:szCs w:val="20"/>
          <w:lang w:val="en-IE"/>
        </w:rPr>
        <w:t xml:space="preserve">(2013). Abalone farm discharges the withering syndrome pathogen into the wild. </w:t>
      </w:r>
      <w:r w:rsidRPr="00D73FF0">
        <w:rPr>
          <w:rFonts w:ascii="Times New Roman" w:hAnsi="Times New Roman" w:cs="Times New Roman"/>
          <w:i/>
          <w:iCs/>
          <w:noProof/>
          <w:sz w:val="20"/>
          <w:szCs w:val="20"/>
          <w:lang w:val="en-IE"/>
        </w:rPr>
        <w:t>Frontiers in Microbiology,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w:t>
      </w:r>
      <w:r w:rsidRPr="00D73FF0">
        <w:rPr>
          <w:rFonts w:ascii="Times New Roman" w:hAnsi="Times New Roman" w:cs="Times New Roman"/>
          <w:noProof/>
          <w:sz w:val="20"/>
          <w:szCs w:val="20"/>
          <w:lang w:val="en-IE"/>
        </w:rPr>
        <w:t>, 1–5.</w:t>
      </w:r>
    </w:p>
    <w:p w14:paraId="00A29DE9" w14:textId="77777777" w:rsidR="00BC7F24" w:rsidRDefault="00BC7F24" w:rsidP="00BC7F24">
      <w:pPr>
        <w:widowControl w:val="0"/>
        <w:autoSpaceDE w:val="0"/>
        <w:autoSpaceDN w:val="0"/>
        <w:adjustRightInd w:val="0"/>
        <w:spacing w:after="240" w:line="240" w:lineRule="auto"/>
        <w:jc w:val="both"/>
        <w:rPr>
          <w:rFonts w:ascii="Times New Roman" w:hAnsi="Times New Roman" w:cs="Times New Roman"/>
          <w:smallCaps/>
          <w:noProof/>
          <w:sz w:val="20"/>
          <w:szCs w:val="20"/>
          <w:lang w:val="en-IE"/>
        </w:rPr>
      </w:pPr>
      <w:r w:rsidRPr="00D73FF0">
        <w:rPr>
          <w:rFonts w:ascii="Times New Roman" w:hAnsi="Times New Roman" w:cs="Times New Roman"/>
          <w:smallCaps/>
          <w:noProof/>
          <w:sz w:val="20"/>
          <w:szCs w:val="20"/>
          <w:lang w:val="en-IE"/>
        </w:rPr>
        <w:t>Laurin, E., Thakur, K.K., Gardner, I.A., Hick, P., Moody, N.J., Crane, M. &amp; Ernst, I. (2018).</w:t>
      </w:r>
      <w:r w:rsidRPr="00D73FF0">
        <w:rPr>
          <w:rFonts w:ascii="Times New Roman" w:hAnsi="Times New Roman" w:cs="Times New Roman"/>
          <w:sz w:val="20"/>
          <w:szCs w:val="20"/>
        </w:rPr>
        <w:t xml:space="preserve"> </w:t>
      </w:r>
      <w:r w:rsidRPr="00D73FF0">
        <w:rPr>
          <w:rFonts w:ascii="Times New Roman" w:hAnsi="Times New Roman" w:cs="Times New Roman"/>
          <w:noProof/>
          <w:sz w:val="20"/>
          <w:szCs w:val="20"/>
          <w:lang w:val="en-IE"/>
        </w:rPr>
        <w:t xml:space="preserve">Design standards for experimental and field studies to evaluate diagnostic accuracy of tests for infectious diseases in aquatic animals. </w:t>
      </w:r>
      <w:r w:rsidRPr="00D73FF0">
        <w:rPr>
          <w:rFonts w:ascii="Times New Roman" w:hAnsi="Times New Roman" w:cs="Times New Roman"/>
          <w:i/>
          <w:iCs/>
          <w:noProof/>
          <w:sz w:val="20"/>
          <w:szCs w:val="20"/>
          <w:lang w:val="en-IE"/>
        </w:rPr>
        <w:t>Journal of Fish Diseases,</w:t>
      </w:r>
      <w:r w:rsidRPr="00D73FF0">
        <w:rPr>
          <w:rFonts w:ascii="Times New Roman" w:hAnsi="Times New Roman" w:cs="Times New Roman"/>
          <w:smallCaps/>
          <w:noProof/>
          <w:sz w:val="20"/>
          <w:szCs w:val="20"/>
          <w:lang w:val="en-IE"/>
        </w:rPr>
        <w:t xml:space="preserve"> </w:t>
      </w:r>
      <w:r w:rsidRPr="00D73FF0">
        <w:rPr>
          <w:rFonts w:ascii="Times New Roman" w:hAnsi="Times New Roman" w:cs="Times New Roman"/>
          <w:b/>
          <w:bCs/>
          <w:smallCaps/>
          <w:noProof/>
          <w:sz w:val="20"/>
          <w:szCs w:val="20"/>
          <w:lang w:val="en-IE"/>
        </w:rPr>
        <w:t>41</w:t>
      </w:r>
      <w:r w:rsidRPr="00D73FF0">
        <w:rPr>
          <w:rFonts w:ascii="Times New Roman" w:hAnsi="Times New Roman" w:cs="Times New Roman"/>
          <w:smallCaps/>
          <w:noProof/>
          <w:sz w:val="20"/>
          <w:szCs w:val="20"/>
          <w:lang w:val="en-IE"/>
        </w:rPr>
        <w:t>, 729–749.</w:t>
      </w:r>
      <w:r>
        <w:rPr>
          <w:rFonts w:ascii="Times New Roman" w:hAnsi="Times New Roman" w:cs="Times New Roman"/>
          <w:smallCaps/>
          <w:noProof/>
          <w:sz w:val="20"/>
          <w:szCs w:val="20"/>
          <w:lang w:val="en-IE"/>
        </w:rPr>
        <w:br w:type="page"/>
      </w:r>
    </w:p>
    <w:p w14:paraId="79909EF3"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Mahon A.R., Horton D.J., Learman D.R., Nathan L.R. &amp; Jerde C.L. </w:t>
      </w:r>
      <w:r w:rsidRPr="00D73FF0">
        <w:rPr>
          <w:rFonts w:ascii="Times New Roman" w:hAnsi="Times New Roman" w:cs="Times New Roman"/>
          <w:noProof/>
          <w:sz w:val="20"/>
          <w:szCs w:val="20"/>
          <w:lang w:val="en-IE"/>
        </w:rPr>
        <w:t xml:space="preserve">(2018). Investigating diversity of pathogenic microbes in commercial bait trade water. </w:t>
      </w:r>
      <w:r w:rsidRPr="00D73FF0">
        <w:rPr>
          <w:rFonts w:ascii="Times New Roman" w:hAnsi="Times New Roman" w:cs="Times New Roman"/>
          <w:i/>
          <w:iCs/>
          <w:noProof/>
          <w:sz w:val="20"/>
          <w:szCs w:val="20"/>
          <w:lang w:val="en-IE"/>
        </w:rPr>
        <w:t>PeerJ</w:t>
      </w:r>
      <w:r w:rsidRPr="00D73FF0">
        <w:rPr>
          <w:rFonts w:ascii="Times New Roman" w:hAnsi="Times New Roman" w:cs="Times New Roman"/>
          <w:noProof/>
          <w:sz w:val="20"/>
          <w:szCs w:val="20"/>
          <w:lang w:val="en-IE"/>
        </w:rPr>
        <w:t xml:space="preserve">., </w:t>
      </w:r>
      <w:proofErr w:type="gramStart"/>
      <w:r w:rsidRPr="00D73FF0">
        <w:rPr>
          <w:rFonts w:ascii="Times New Roman" w:eastAsia="Times New Roman" w:hAnsi="Times New Roman" w:cs="Times New Roman"/>
          <w:sz w:val="20"/>
          <w:szCs w:val="20"/>
          <w:lang w:val="en-CA" w:eastAsia="fr-FR"/>
        </w:rPr>
        <w:t>6:e</w:t>
      </w:r>
      <w:proofErr w:type="gramEnd"/>
      <w:r w:rsidRPr="00D73FF0">
        <w:rPr>
          <w:rFonts w:ascii="Times New Roman" w:eastAsia="Times New Roman" w:hAnsi="Times New Roman" w:cs="Times New Roman"/>
          <w:sz w:val="20"/>
          <w:szCs w:val="20"/>
          <w:lang w:val="en-CA" w:eastAsia="fr-FR"/>
        </w:rPr>
        <w:t xml:space="preserve">5468. </w:t>
      </w:r>
    </w:p>
    <w:p w14:paraId="3C2ED008"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Miaud C., Arnal V., Poulain M., Valentini A. &amp; Dejean T.</w:t>
      </w:r>
      <w:r w:rsidRPr="00D73FF0">
        <w:rPr>
          <w:rFonts w:ascii="Times New Roman" w:hAnsi="Times New Roman" w:cs="Times New Roman"/>
          <w:noProof/>
          <w:sz w:val="20"/>
          <w:szCs w:val="20"/>
          <w:lang w:val="en-IE"/>
        </w:rPr>
        <w:t xml:space="preserve"> (2019). eDNA increases the detectability of ranavirus infection in an alpine amphibian population. </w:t>
      </w:r>
      <w:r w:rsidRPr="00D73FF0">
        <w:rPr>
          <w:rFonts w:ascii="Times New Roman" w:hAnsi="Times New Roman" w:cs="Times New Roman"/>
          <w:i/>
          <w:iCs/>
          <w:noProof/>
          <w:sz w:val="20"/>
          <w:szCs w:val="20"/>
          <w:lang w:val="en-IE"/>
        </w:rPr>
        <w:t>Viruses,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11</w:t>
      </w:r>
      <w:r w:rsidRPr="00D73FF0">
        <w:rPr>
          <w:rFonts w:ascii="Times New Roman" w:hAnsi="Times New Roman" w:cs="Times New Roman"/>
          <w:noProof/>
          <w:sz w:val="20"/>
          <w:szCs w:val="20"/>
          <w:lang w:val="en-IE"/>
        </w:rPr>
        <w:t>, 1–15.</w:t>
      </w:r>
    </w:p>
    <w:p w14:paraId="6AEF9CBE"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rPr>
      </w:pPr>
      <w:r w:rsidRPr="00D73FF0">
        <w:rPr>
          <w:rFonts w:ascii="Times New Roman" w:hAnsi="Times New Roman" w:cs="Times New Roman"/>
          <w:smallCaps/>
          <w:noProof/>
          <w:sz w:val="20"/>
          <w:szCs w:val="20"/>
          <w:lang w:val="en-IE"/>
        </w:rPr>
        <w:t>Mosher B.A., Huyvaert K.P., Chestnut T., Kerby J.L., Madison J.D. &amp; Bailey L.L.</w:t>
      </w:r>
      <w:r w:rsidRPr="00D73FF0">
        <w:rPr>
          <w:rFonts w:ascii="Times New Roman" w:hAnsi="Times New Roman" w:cs="Times New Roman"/>
          <w:noProof/>
          <w:sz w:val="20"/>
          <w:szCs w:val="20"/>
          <w:lang w:val="en-IE"/>
        </w:rPr>
        <w:t xml:space="preserve"> (2017). Design- and model-based recommendations for detecting and quantifying an amphibian pathogen in environmental samples. </w:t>
      </w:r>
      <w:r w:rsidRPr="00D73FF0">
        <w:rPr>
          <w:rFonts w:ascii="Times New Roman" w:hAnsi="Times New Roman" w:cs="Times New Roman"/>
          <w:i/>
          <w:iCs/>
          <w:noProof/>
          <w:sz w:val="20"/>
          <w:szCs w:val="20"/>
        </w:rPr>
        <w:t xml:space="preserve">Ecology and Evolution, </w:t>
      </w:r>
      <w:r w:rsidRPr="00D73FF0">
        <w:rPr>
          <w:rFonts w:ascii="Times New Roman" w:hAnsi="Times New Roman" w:cs="Times New Roman"/>
          <w:b/>
          <w:bCs/>
          <w:noProof/>
          <w:sz w:val="20"/>
          <w:szCs w:val="20"/>
        </w:rPr>
        <w:t>7</w:t>
      </w:r>
      <w:r w:rsidRPr="00D73FF0">
        <w:rPr>
          <w:rFonts w:ascii="Times New Roman" w:hAnsi="Times New Roman" w:cs="Times New Roman"/>
          <w:noProof/>
          <w:sz w:val="20"/>
          <w:szCs w:val="20"/>
        </w:rPr>
        <w:t>, 10952–10962.</w:t>
      </w:r>
    </w:p>
    <w:p w14:paraId="055D1D10"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rPr>
        <w:t>Natividad K.D.T., Nomura N. &amp; Matsumura M</w:t>
      </w:r>
      <w:r w:rsidRPr="00D73FF0">
        <w:rPr>
          <w:rFonts w:ascii="Times New Roman" w:hAnsi="Times New Roman" w:cs="Times New Roman"/>
          <w:noProof/>
          <w:sz w:val="20"/>
          <w:szCs w:val="20"/>
        </w:rPr>
        <w:t xml:space="preserve">. (2008). </w:t>
      </w:r>
      <w:r w:rsidRPr="00D73FF0">
        <w:rPr>
          <w:rFonts w:ascii="Times New Roman" w:hAnsi="Times New Roman" w:cs="Times New Roman"/>
          <w:noProof/>
          <w:sz w:val="20"/>
          <w:szCs w:val="20"/>
          <w:lang w:val="en-IE"/>
        </w:rPr>
        <w:t xml:space="preserve">Detection of White spot syndrome virus DNA in pond soil using a 2-step nested PCR. </w:t>
      </w:r>
      <w:r w:rsidRPr="00D73FF0">
        <w:rPr>
          <w:rFonts w:ascii="Times New Roman" w:hAnsi="Times New Roman" w:cs="Times New Roman"/>
          <w:i/>
          <w:iCs/>
          <w:noProof/>
          <w:sz w:val="20"/>
          <w:szCs w:val="20"/>
          <w:lang w:val="en-IE"/>
        </w:rPr>
        <w:t>Journal of Virological Methods,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149</w:t>
      </w:r>
      <w:r w:rsidRPr="00D73FF0">
        <w:rPr>
          <w:rFonts w:ascii="Times New Roman" w:hAnsi="Times New Roman" w:cs="Times New Roman"/>
          <w:noProof/>
          <w:sz w:val="20"/>
          <w:szCs w:val="20"/>
          <w:lang w:val="en-IE"/>
        </w:rPr>
        <w:t>, 28–34.</w:t>
      </w:r>
    </w:p>
    <w:p w14:paraId="6030A1FD"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Oidtmann B., Dixon P., Way K., Joiner C. &amp; Bayley A.E</w:t>
      </w:r>
      <w:r w:rsidRPr="00D73FF0">
        <w:rPr>
          <w:rFonts w:ascii="Times New Roman" w:hAnsi="Times New Roman" w:cs="Times New Roman"/>
          <w:noProof/>
          <w:sz w:val="20"/>
          <w:szCs w:val="20"/>
          <w:lang w:val="en-IE"/>
        </w:rPr>
        <w:t xml:space="preserve">. (2018). Risk of waterborne virus spread – review of survival of relevant fish and crustacean viruses in the aquatic environment and implications for control measures. </w:t>
      </w:r>
      <w:r w:rsidRPr="00D73FF0">
        <w:rPr>
          <w:rFonts w:ascii="Times New Roman" w:hAnsi="Times New Roman" w:cs="Times New Roman"/>
          <w:i/>
          <w:iCs/>
          <w:noProof/>
          <w:sz w:val="20"/>
          <w:szCs w:val="20"/>
          <w:lang w:val="en-IE"/>
        </w:rPr>
        <w:t>Reviews in Aquaculture,</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641–669.</w:t>
      </w:r>
    </w:p>
    <w:p w14:paraId="44C34312"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Pierson T.W. &amp; Horner A.A.</w:t>
      </w:r>
      <w:r w:rsidRPr="00D73FF0">
        <w:rPr>
          <w:rFonts w:ascii="Times New Roman" w:hAnsi="Times New Roman" w:cs="Times New Roman"/>
          <w:noProof/>
          <w:sz w:val="20"/>
          <w:szCs w:val="20"/>
          <w:lang w:val="en-IE"/>
        </w:rPr>
        <w:t xml:space="preserve"> (2016). Environmental DNA (eDNA) sampling for amphibian pathogens. Southeastern Partners in Amphibian and Reptile Conservation (SEPARC), Disease, Pathogens and Parasites</w:t>
      </w:r>
      <w:r>
        <w:rPr>
          <w:rFonts w:ascii="Times New Roman" w:hAnsi="Times New Roman" w:cs="Times New Roman"/>
          <w:noProof/>
          <w:sz w:val="20"/>
          <w:szCs w:val="20"/>
          <w:lang w:val="en-IE"/>
        </w:rPr>
        <w:t xml:space="preserve"> </w:t>
      </w:r>
      <w:r w:rsidRPr="00D73FF0">
        <w:rPr>
          <w:rFonts w:ascii="Times New Roman" w:hAnsi="Times New Roman" w:cs="Times New Roman"/>
          <w:noProof/>
          <w:sz w:val="20"/>
          <w:szCs w:val="20"/>
          <w:lang w:val="en-IE"/>
        </w:rPr>
        <w:t>Task Team: Information Sheet #19.</w:t>
      </w:r>
    </w:p>
    <w:p w14:paraId="11F0F36A"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Polinski M.P., Meyer G.R., Lowe G.J. &amp; Abbott C.L.</w:t>
      </w:r>
      <w:r w:rsidRPr="00D73FF0">
        <w:rPr>
          <w:rFonts w:ascii="Times New Roman" w:hAnsi="Times New Roman" w:cs="Times New Roman"/>
          <w:noProof/>
          <w:sz w:val="20"/>
          <w:szCs w:val="20"/>
          <w:lang w:val="en-IE"/>
        </w:rPr>
        <w:t xml:space="preserve"> (2017). Seawater detection and biological assessments regarding transmission of the oyster parasite </w:t>
      </w:r>
      <w:r w:rsidRPr="00D73FF0">
        <w:rPr>
          <w:rFonts w:ascii="Times New Roman" w:hAnsi="Times New Roman" w:cs="Times New Roman"/>
          <w:i/>
          <w:iCs/>
          <w:noProof/>
          <w:sz w:val="20"/>
          <w:szCs w:val="20"/>
          <w:lang w:val="en-IE"/>
        </w:rPr>
        <w:t>Mikrocytos mackini</w:t>
      </w:r>
      <w:r w:rsidRPr="00D73FF0">
        <w:rPr>
          <w:rFonts w:ascii="Times New Roman" w:hAnsi="Times New Roman" w:cs="Times New Roman"/>
          <w:noProof/>
          <w:sz w:val="20"/>
          <w:szCs w:val="20"/>
          <w:lang w:val="en-IE"/>
        </w:rPr>
        <w:t xml:space="preserve"> using qPCR. </w:t>
      </w:r>
      <w:r w:rsidRPr="00D73FF0">
        <w:rPr>
          <w:rFonts w:ascii="Times New Roman" w:hAnsi="Times New Roman" w:cs="Times New Roman"/>
          <w:i/>
          <w:iCs/>
          <w:noProof/>
          <w:sz w:val="20"/>
          <w:szCs w:val="20"/>
          <w:lang w:val="en-IE"/>
        </w:rPr>
        <w:t>Diseases of Aquatic Organisms,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126</w:t>
      </w:r>
      <w:r w:rsidRPr="00D73FF0">
        <w:rPr>
          <w:rFonts w:ascii="Times New Roman" w:hAnsi="Times New Roman" w:cs="Times New Roman"/>
          <w:noProof/>
          <w:sz w:val="20"/>
          <w:szCs w:val="20"/>
          <w:lang w:val="en-IE"/>
        </w:rPr>
        <w:t>, 143–153.</w:t>
      </w:r>
    </w:p>
    <w:p w14:paraId="63B6F63C"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rPr>
      </w:pPr>
      <w:r w:rsidRPr="00D73FF0">
        <w:rPr>
          <w:rFonts w:ascii="Times New Roman" w:hAnsi="Times New Roman" w:cs="Times New Roman"/>
          <w:smallCaps/>
          <w:noProof/>
          <w:sz w:val="20"/>
          <w:szCs w:val="20"/>
          <w:lang w:val="en-IE"/>
        </w:rPr>
        <w:t>Quang N.D., Hoa P.T.P., Da T.T. &amp; Anh P.H</w:t>
      </w:r>
      <w:r w:rsidRPr="00D73FF0">
        <w:rPr>
          <w:rFonts w:ascii="Times New Roman" w:hAnsi="Times New Roman" w:cs="Times New Roman"/>
          <w:noProof/>
          <w:sz w:val="20"/>
          <w:szCs w:val="20"/>
          <w:lang w:val="en-IE"/>
        </w:rPr>
        <w:t xml:space="preserve">. (2009). Persistence of white spot syndrome virus in shrimp ponds and surrounding areas after an outbreak. </w:t>
      </w:r>
      <w:r w:rsidRPr="00D73FF0">
        <w:rPr>
          <w:rFonts w:ascii="Times New Roman" w:hAnsi="Times New Roman" w:cs="Times New Roman"/>
          <w:i/>
          <w:iCs/>
          <w:noProof/>
          <w:sz w:val="20"/>
          <w:szCs w:val="20"/>
        </w:rPr>
        <w:t>Environmental Monitoring and Assessments,</w:t>
      </w:r>
      <w:r w:rsidRPr="00D73FF0">
        <w:rPr>
          <w:rFonts w:ascii="Times New Roman" w:hAnsi="Times New Roman" w:cs="Times New Roman"/>
          <w:noProof/>
          <w:sz w:val="20"/>
          <w:szCs w:val="20"/>
        </w:rPr>
        <w:t xml:space="preserve"> </w:t>
      </w:r>
      <w:r w:rsidRPr="00D73FF0">
        <w:rPr>
          <w:rFonts w:ascii="Times New Roman" w:hAnsi="Times New Roman" w:cs="Times New Roman"/>
          <w:b/>
          <w:bCs/>
          <w:noProof/>
          <w:sz w:val="20"/>
          <w:szCs w:val="20"/>
        </w:rPr>
        <w:t>156</w:t>
      </w:r>
      <w:r w:rsidRPr="00D73FF0">
        <w:rPr>
          <w:rFonts w:ascii="Times New Roman" w:hAnsi="Times New Roman" w:cs="Times New Roman"/>
          <w:noProof/>
          <w:sz w:val="20"/>
          <w:szCs w:val="20"/>
        </w:rPr>
        <w:t>, 69–72.</w:t>
      </w:r>
    </w:p>
    <w:p w14:paraId="7D1135A2"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rPr>
        <w:t>Robinson C.V., Uren Webster T.M., Cable J., James J. &amp; Consuegra S</w:t>
      </w:r>
      <w:r w:rsidRPr="00D73FF0">
        <w:rPr>
          <w:rFonts w:ascii="Times New Roman" w:hAnsi="Times New Roman" w:cs="Times New Roman"/>
          <w:noProof/>
          <w:sz w:val="20"/>
          <w:szCs w:val="20"/>
        </w:rPr>
        <w:t xml:space="preserve">. (2018). </w:t>
      </w:r>
      <w:r w:rsidRPr="00D73FF0">
        <w:rPr>
          <w:rFonts w:ascii="Times New Roman" w:hAnsi="Times New Roman" w:cs="Times New Roman"/>
          <w:noProof/>
          <w:sz w:val="20"/>
          <w:szCs w:val="20"/>
          <w:lang w:val="en-IE"/>
        </w:rPr>
        <w:t xml:space="preserve">Simultaneous detection of invasive signal crayfish, endangered white-clawed crayfish and the crayfish plague pathogen using environmental DNA. </w:t>
      </w:r>
      <w:r w:rsidRPr="00D73FF0">
        <w:rPr>
          <w:rFonts w:ascii="Times New Roman" w:hAnsi="Times New Roman" w:cs="Times New Roman"/>
          <w:i/>
          <w:iCs/>
          <w:noProof/>
          <w:sz w:val="20"/>
          <w:szCs w:val="20"/>
          <w:lang w:val="en-IE"/>
        </w:rPr>
        <w:t>Biological Conservation,</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222</w:t>
      </w:r>
      <w:r w:rsidRPr="00D73FF0">
        <w:rPr>
          <w:rFonts w:ascii="Times New Roman" w:hAnsi="Times New Roman" w:cs="Times New Roman"/>
          <w:noProof/>
          <w:sz w:val="20"/>
          <w:szCs w:val="20"/>
          <w:lang w:val="en-IE"/>
        </w:rPr>
        <w:t>, 241–252.</w:t>
      </w:r>
    </w:p>
    <w:p w14:paraId="18437FE4"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Rusch J.C., Hansen H., Strand D.A., Markussen T., Hytterød S. &amp; Vrålstad T.</w:t>
      </w:r>
      <w:r w:rsidRPr="00D73FF0">
        <w:rPr>
          <w:rFonts w:ascii="Times New Roman" w:hAnsi="Times New Roman" w:cs="Times New Roman"/>
          <w:noProof/>
          <w:sz w:val="20"/>
          <w:szCs w:val="20"/>
          <w:lang w:val="en-IE"/>
        </w:rPr>
        <w:t xml:space="preserve"> (2018). Catching the fish with the worm: a case study on eDNA detection of the monogenean parasite </w:t>
      </w:r>
      <w:r w:rsidRPr="00D73FF0">
        <w:rPr>
          <w:rFonts w:ascii="Times New Roman" w:hAnsi="Times New Roman" w:cs="Times New Roman"/>
          <w:i/>
          <w:iCs/>
          <w:noProof/>
          <w:sz w:val="20"/>
          <w:szCs w:val="20"/>
          <w:lang w:val="en-IE"/>
        </w:rPr>
        <w:t>Gyrodactylus salaris</w:t>
      </w:r>
      <w:r w:rsidRPr="00D73FF0">
        <w:rPr>
          <w:rFonts w:ascii="Times New Roman" w:hAnsi="Times New Roman" w:cs="Times New Roman"/>
          <w:noProof/>
          <w:sz w:val="20"/>
          <w:szCs w:val="20"/>
          <w:lang w:val="en-IE"/>
        </w:rPr>
        <w:t xml:space="preserve"> and two of its hosts, Atlantic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and rainbow trout (</w:t>
      </w:r>
      <w:r w:rsidRPr="00D73FF0">
        <w:rPr>
          <w:rFonts w:ascii="Times New Roman" w:hAnsi="Times New Roman" w:cs="Times New Roman"/>
          <w:i/>
          <w:iCs/>
          <w:noProof/>
          <w:sz w:val="20"/>
          <w:szCs w:val="20"/>
          <w:lang w:val="en-IE"/>
        </w:rPr>
        <w:t>Oncorhynchus mykiss</w:t>
      </w:r>
      <w:r w:rsidRPr="00D73FF0">
        <w:rPr>
          <w:rFonts w:ascii="Times New Roman" w:hAnsi="Times New Roman" w:cs="Times New Roman"/>
          <w:noProof/>
          <w:sz w:val="20"/>
          <w:szCs w:val="20"/>
          <w:lang w:val="en-IE"/>
        </w:rPr>
        <w:t xml:space="preserve">). </w:t>
      </w:r>
      <w:r w:rsidRPr="00D73FF0">
        <w:rPr>
          <w:rFonts w:ascii="Times New Roman" w:hAnsi="Times New Roman" w:cs="Times New Roman"/>
          <w:i/>
          <w:iCs/>
          <w:noProof/>
          <w:sz w:val="20"/>
          <w:szCs w:val="20"/>
          <w:lang w:val="en-IE"/>
        </w:rPr>
        <w:t>Parasites &amp; Vectors,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11</w:t>
      </w:r>
      <w:r w:rsidRPr="00D73FF0">
        <w:rPr>
          <w:rFonts w:ascii="Times New Roman" w:hAnsi="Times New Roman" w:cs="Times New Roman"/>
          <w:noProof/>
          <w:sz w:val="20"/>
          <w:szCs w:val="20"/>
          <w:lang w:val="en-IE"/>
        </w:rPr>
        <w:t xml:space="preserve">, 333. </w:t>
      </w:r>
    </w:p>
    <w:p w14:paraId="708E0100"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Rusch J. C., Mojžišová M., Strand D.A., Svobodová J., Vrålstad T. &amp; Petrusek A.</w:t>
      </w:r>
      <w:r w:rsidRPr="00D73FF0">
        <w:rPr>
          <w:rFonts w:ascii="Times New Roman" w:hAnsi="Times New Roman" w:cs="Times New Roman"/>
          <w:noProof/>
          <w:sz w:val="20"/>
          <w:szCs w:val="20"/>
          <w:lang w:val="en-IE"/>
        </w:rPr>
        <w:t xml:space="preserve"> (2020). Simultaneous detection of native and invasive crayfish and </w:t>
      </w:r>
      <w:r w:rsidRPr="00D73FF0">
        <w:rPr>
          <w:rFonts w:ascii="Times New Roman" w:hAnsi="Times New Roman" w:cs="Times New Roman"/>
          <w:i/>
          <w:iCs/>
          <w:noProof/>
          <w:sz w:val="20"/>
          <w:szCs w:val="20"/>
          <w:lang w:val="en-IE"/>
        </w:rPr>
        <w:t>Aphanomyces astaci</w:t>
      </w:r>
      <w:r w:rsidRPr="00D73FF0">
        <w:rPr>
          <w:rFonts w:ascii="Times New Roman" w:hAnsi="Times New Roman" w:cs="Times New Roman"/>
          <w:noProof/>
          <w:sz w:val="20"/>
          <w:szCs w:val="20"/>
          <w:lang w:val="en-IE"/>
        </w:rPr>
        <w:t xml:space="preserve"> from environmental DNA samples in a wide range of habitats in Central Europe. </w:t>
      </w:r>
      <w:r w:rsidRPr="00D73FF0">
        <w:rPr>
          <w:rFonts w:ascii="Times New Roman" w:hAnsi="Times New Roman" w:cs="Times New Roman"/>
          <w:i/>
          <w:iCs/>
          <w:noProof/>
          <w:sz w:val="20"/>
          <w:szCs w:val="20"/>
          <w:lang w:val="en-IE"/>
        </w:rPr>
        <w:t>NeoBiota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58</w:t>
      </w:r>
      <w:r w:rsidRPr="00D73FF0">
        <w:rPr>
          <w:rFonts w:ascii="Times New Roman" w:hAnsi="Times New Roman" w:cs="Times New Roman"/>
          <w:noProof/>
          <w:sz w:val="20"/>
          <w:szCs w:val="20"/>
          <w:lang w:val="en-IE"/>
        </w:rPr>
        <w:t>, 1–32.</w:t>
      </w:r>
    </w:p>
    <w:p w14:paraId="12C95F87"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Salama N. &amp; Rabe B. </w:t>
      </w:r>
      <w:r w:rsidRPr="00D73FF0">
        <w:rPr>
          <w:rFonts w:ascii="Times New Roman" w:hAnsi="Times New Roman" w:cs="Times New Roman"/>
          <w:noProof/>
          <w:sz w:val="20"/>
          <w:szCs w:val="20"/>
          <w:lang w:val="en-IE"/>
        </w:rPr>
        <w:t xml:space="preserve">(2013). Developing models for investigating the environmental transmission of disease-causing agents within open-cage salmon aquaculture. </w:t>
      </w:r>
      <w:r w:rsidRPr="00D73FF0">
        <w:rPr>
          <w:rFonts w:ascii="Times New Roman" w:hAnsi="Times New Roman" w:cs="Times New Roman"/>
          <w:i/>
          <w:iCs/>
          <w:noProof/>
          <w:sz w:val="20"/>
          <w:szCs w:val="20"/>
          <w:lang w:val="en-IE"/>
        </w:rPr>
        <w:t>Aquaculture Environment Interactions,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w:t>
      </w:r>
      <w:r w:rsidRPr="00D73FF0">
        <w:rPr>
          <w:rFonts w:ascii="Times New Roman" w:hAnsi="Times New Roman" w:cs="Times New Roman"/>
          <w:noProof/>
          <w:sz w:val="20"/>
          <w:szCs w:val="20"/>
          <w:lang w:val="en-IE"/>
        </w:rPr>
        <w:t>, 91–115.</w:t>
      </w:r>
    </w:p>
    <w:p w14:paraId="526281B4"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Sana S., Williams C., Hardouin E.A., Blake A., Davison P., Pegg J., Paley R., Zhang T. &amp; Andreou D.</w:t>
      </w:r>
      <w:r w:rsidRPr="00D73FF0">
        <w:rPr>
          <w:rFonts w:ascii="Times New Roman" w:hAnsi="Times New Roman" w:cs="Times New Roman"/>
          <w:noProof/>
          <w:sz w:val="20"/>
          <w:szCs w:val="20"/>
          <w:lang w:val="en-IE"/>
        </w:rPr>
        <w:t xml:space="preserve"> (2018). Phylogenetic and environmental DNA insights into emerging aquatic parasites: implications for risk management. </w:t>
      </w:r>
      <w:r w:rsidRPr="00D73FF0">
        <w:rPr>
          <w:rFonts w:ascii="Times New Roman" w:hAnsi="Times New Roman" w:cs="Times New Roman"/>
          <w:i/>
          <w:iCs/>
          <w:noProof/>
          <w:sz w:val="20"/>
          <w:szCs w:val="20"/>
          <w:lang w:val="en-IE"/>
        </w:rPr>
        <w:t>International Journal of Parasitology,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48</w:t>
      </w:r>
      <w:r w:rsidRPr="00D73FF0">
        <w:rPr>
          <w:rFonts w:ascii="Times New Roman" w:hAnsi="Times New Roman" w:cs="Times New Roman"/>
          <w:noProof/>
          <w:sz w:val="20"/>
          <w:szCs w:val="20"/>
          <w:lang w:val="en-IE"/>
        </w:rPr>
        <w:t>, 473–481.</w:t>
      </w:r>
    </w:p>
    <w:p w14:paraId="2816B10E"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Spitzen-Van Der Sluijs A., Stark T., Dejean T., Verbrugghe E., Herder J., Gilbert M., Janse J., Martel A., Pasmans F. &amp; Valentini A.</w:t>
      </w:r>
      <w:r w:rsidRPr="00D73FF0">
        <w:rPr>
          <w:rFonts w:ascii="Times New Roman" w:hAnsi="Times New Roman" w:cs="Times New Roman"/>
          <w:noProof/>
          <w:sz w:val="20"/>
          <w:szCs w:val="20"/>
          <w:lang w:val="en-IE"/>
        </w:rPr>
        <w:t xml:space="preserve"> (2020). Using environmental DNA for detection of </w:t>
      </w:r>
      <w:r w:rsidRPr="00D73FF0">
        <w:rPr>
          <w:rFonts w:ascii="Times New Roman" w:hAnsi="Times New Roman" w:cs="Times New Roman"/>
          <w:i/>
          <w:iCs/>
          <w:noProof/>
          <w:sz w:val="20"/>
          <w:szCs w:val="20"/>
          <w:lang w:val="en-IE"/>
        </w:rPr>
        <w:t>Batrachochytrium salamandrivorans</w:t>
      </w:r>
      <w:r w:rsidRPr="00D73FF0">
        <w:rPr>
          <w:rFonts w:ascii="Times New Roman" w:hAnsi="Times New Roman" w:cs="Times New Roman"/>
          <w:noProof/>
          <w:sz w:val="20"/>
          <w:szCs w:val="20"/>
          <w:lang w:val="en-IE"/>
        </w:rPr>
        <w:t xml:space="preserve"> in natural water.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565–571.</w:t>
      </w:r>
    </w:p>
    <w:p w14:paraId="099337B0" w14:textId="77777777" w:rsidR="00BC7F24" w:rsidRDefault="00BC7F24" w:rsidP="00BC7F24">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Strand D.A., Holst-Jensen A., Viljugrein H., Edvardsen B., Klaveness D., Jussila J. &amp; Vrålstad T. </w:t>
      </w:r>
      <w:r w:rsidRPr="00D73FF0">
        <w:rPr>
          <w:rFonts w:ascii="Times New Roman" w:hAnsi="Times New Roman" w:cs="Times New Roman"/>
          <w:noProof/>
          <w:sz w:val="20"/>
          <w:szCs w:val="20"/>
          <w:lang w:val="en-IE"/>
        </w:rPr>
        <w:t xml:space="preserve">(2011). Detection and quantification of the crayfish plague agent in natural waters: Direct monitoring approach for aquatic environments. </w:t>
      </w:r>
      <w:r w:rsidRPr="00D73FF0">
        <w:rPr>
          <w:rFonts w:ascii="Times New Roman" w:hAnsi="Times New Roman" w:cs="Times New Roman"/>
          <w:i/>
          <w:iCs/>
          <w:noProof/>
          <w:sz w:val="20"/>
          <w:szCs w:val="20"/>
          <w:lang w:val="en-IE"/>
        </w:rPr>
        <w:t>Diseases of Aquatic Organisms,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95</w:t>
      </w:r>
      <w:r w:rsidRPr="00D73FF0">
        <w:rPr>
          <w:rFonts w:ascii="Times New Roman" w:hAnsi="Times New Roman" w:cs="Times New Roman"/>
          <w:noProof/>
          <w:sz w:val="20"/>
          <w:szCs w:val="20"/>
          <w:lang w:val="en-IE"/>
        </w:rPr>
        <w:t>, 9–17.</w:t>
      </w:r>
      <w:r>
        <w:rPr>
          <w:rFonts w:ascii="Times New Roman" w:hAnsi="Times New Roman" w:cs="Times New Roman"/>
          <w:noProof/>
          <w:sz w:val="20"/>
          <w:szCs w:val="20"/>
          <w:lang w:val="en-IE"/>
        </w:rPr>
        <w:br w:type="page"/>
      </w:r>
    </w:p>
    <w:p w14:paraId="6FCC06FE"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Strand D.A., Jussila J., Johnsen S.I., Viljamaa-Dirks S., Edsman L., Wiik-Nielsen J., Viljugrein H., Engdahl F. &amp; Vrålstad T.</w:t>
      </w:r>
      <w:r w:rsidRPr="00D73FF0">
        <w:rPr>
          <w:rFonts w:ascii="Times New Roman" w:hAnsi="Times New Roman" w:cs="Times New Roman"/>
          <w:noProof/>
          <w:sz w:val="20"/>
          <w:szCs w:val="20"/>
          <w:lang w:val="en-IE"/>
        </w:rPr>
        <w:t xml:space="preserve"> (2014). Detection of crayfish plague spores in large freshwater systems. </w:t>
      </w:r>
      <w:r w:rsidRPr="00D73FF0">
        <w:rPr>
          <w:rFonts w:ascii="Times New Roman" w:hAnsi="Times New Roman" w:cs="Times New Roman"/>
          <w:i/>
          <w:iCs/>
          <w:noProof/>
          <w:sz w:val="20"/>
          <w:szCs w:val="20"/>
          <w:lang w:val="en-IE"/>
        </w:rPr>
        <w:t>Journal of Applied Ecology,</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51</w:t>
      </w:r>
      <w:r w:rsidRPr="00D73FF0">
        <w:rPr>
          <w:rFonts w:ascii="Times New Roman" w:hAnsi="Times New Roman" w:cs="Times New Roman"/>
          <w:noProof/>
          <w:sz w:val="20"/>
          <w:szCs w:val="20"/>
          <w:lang w:val="en-IE"/>
        </w:rPr>
        <w:t>, 544–553.</w:t>
      </w:r>
    </w:p>
    <w:p w14:paraId="013536FD"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Thomsen P.F. &amp; Willerslev E. </w:t>
      </w:r>
      <w:r w:rsidRPr="00D73FF0">
        <w:rPr>
          <w:rFonts w:ascii="Times New Roman" w:hAnsi="Times New Roman" w:cs="Times New Roman"/>
          <w:noProof/>
          <w:sz w:val="20"/>
          <w:szCs w:val="20"/>
          <w:lang w:val="en-IE"/>
        </w:rPr>
        <w:t xml:space="preserve">(2015). Environmental DNA – An emerging tool in conservation for monitoring past and present biodiversity. </w:t>
      </w:r>
      <w:r w:rsidRPr="00D73FF0">
        <w:rPr>
          <w:rFonts w:ascii="Times New Roman" w:hAnsi="Times New Roman" w:cs="Times New Roman"/>
          <w:i/>
          <w:iCs/>
          <w:noProof/>
          <w:sz w:val="20"/>
          <w:szCs w:val="20"/>
          <w:lang w:val="en-IE"/>
        </w:rPr>
        <w:t>Biological Conservation,</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183</w:t>
      </w:r>
      <w:r w:rsidRPr="00D73FF0">
        <w:rPr>
          <w:rFonts w:ascii="Times New Roman" w:hAnsi="Times New Roman" w:cs="Times New Roman"/>
          <w:noProof/>
          <w:sz w:val="20"/>
          <w:szCs w:val="20"/>
          <w:lang w:val="en-IE"/>
        </w:rPr>
        <w:t xml:space="preserve">, 4–18. </w:t>
      </w:r>
    </w:p>
    <w:p w14:paraId="718B2CFF"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Trebitz A.S., Hoffman J.C., Darling J.A., Pilgrim E.M., Kelly J.R., Brown E.A., Chadderton W.L., Egan S.P., Grey E.K., Hashsham S.A., Klymus K.E., Mahon A.R., Ram J.L., Schultz M.T., Stepien C.A. &amp; Schardt J.C. (</w:t>
      </w:r>
      <w:r w:rsidRPr="00D73FF0">
        <w:rPr>
          <w:rFonts w:ascii="Times New Roman" w:hAnsi="Times New Roman" w:cs="Times New Roman"/>
          <w:noProof/>
          <w:sz w:val="20"/>
          <w:szCs w:val="20"/>
          <w:lang w:val="en-IE"/>
        </w:rPr>
        <w:t xml:space="preserve">2017). Early detection monitoring for aquatic non-indigenous species: Optimizing surveillance, incorporating advanced technologies, and identifying research needs. </w:t>
      </w:r>
      <w:r w:rsidRPr="00D73FF0">
        <w:rPr>
          <w:rFonts w:ascii="Times New Roman" w:hAnsi="Times New Roman" w:cs="Times New Roman"/>
          <w:i/>
          <w:iCs/>
          <w:noProof/>
          <w:sz w:val="20"/>
          <w:szCs w:val="20"/>
          <w:lang w:val="en-IE"/>
        </w:rPr>
        <w:t>Journal of Environmental Management,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202</w:t>
      </w:r>
      <w:r w:rsidRPr="00D73FF0">
        <w:rPr>
          <w:rFonts w:ascii="Times New Roman" w:hAnsi="Times New Roman" w:cs="Times New Roman"/>
          <w:noProof/>
          <w:sz w:val="20"/>
          <w:szCs w:val="20"/>
          <w:lang w:val="en-IE"/>
        </w:rPr>
        <w:t xml:space="preserve">, 299–310. </w:t>
      </w:r>
    </w:p>
    <w:p w14:paraId="034A2F79"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Trujillo-González A., Becker J.A., Huerlimann R., Saunders R.J. &amp; Hutson K.S. (</w:t>
      </w:r>
      <w:r w:rsidRPr="00D73FF0">
        <w:rPr>
          <w:rFonts w:ascii="Times New Roman" w:hAnsi="Times New Roman" w:cs="Times New Roman"/>
          <w:noProof/>
          <w:sz w:val="20"/>
          <w:szCs w:val="20"/>
          <w:lang w:val="en-IE"/>
        </w:rPr>
        <w:t xml:space="preserve">2019a). Can environmental DNA be used for aquatic biosecurity in the aquarium fish trade? </w:t>
      </w:r>
      <w:r w:rsidRPr="00D73FF0">
        <w:rPr>
          <w:rFonts w:ascii="Times New Roman" w:hAnsi="Times New Roman" w:cs="Times New Roman"/>
          <w:i/>
          <w:iCs/>
          <w:noProof/>
          <w:sz w:val="20"/>
          <w:szCs w:val="20"/>
          <w:lang w:val="en-IE"/>
        </w:rPr>
        <w:t>Biological Invasions,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22</w:t>
      </w:r>
      <w:r w:rsidRPr="00D73FF0">
        <w:rPr>
          <w:rFonts w:ascii="Times New Roman" w:hAnsi="Times New Roman" w:cs="Times New Roman"/>
          <w:noProof/>
          <w:sz w:val="20"/>
          <w:szCs w:val="20"/>
          <w:lang w:val="en-IE"/>
        </w:rPr>
        <w:t>, 1011–1025.</w:t>
      </w:r>
    </w:p>
    <w:p w14:paraId="500BE523"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Trujillo-González A., Edmunds R. C., Becker J.A. &amp; Hutson K.S. (2019</w:t>
      </w:r>
      <w:r w:rsidRPr="00D73FF0">
        <w:rPr>
          <w:rFonts w:ascii="Times New Roman" w:hAnsi="Times New Roman" w:cs="Times New Roman"/>
          <w:noProof/>
          <w:sz w:val="20"/>
          <w:szCs w:val="20"/>
          <w:lang w:val="en-IE"/>
        </w:rPr>
        <w:t>b)</w:t>
      </w:r>
      <w:r w:rsidRPr="00D73FF0">
        <w:rPr>
          <w:rFonts w:ascii="Times New Roman" w:hAnsi="Times New Roman" w:cs="Times New Roman"/>
          <w:smallCaps/>
          <w:noProof/>
          <w:sz w:val="20"/>
          <w:szCs w:val="20"/>
          <w:lang w:val="en-IE"/>
        </w:rPr>
        <w:t>.</w:t>
      </w:r>
      <w:r w:rsidRPr="00D73FF0">
        <w:rPr>
          <w:rFonts w:ascii="Times New Roman" w:hAnsi="Times New Roman" w:cs="Times New Roman"/>
          <w:noProof/>
          <w:sz w:val="20"/>
          <w:szCs w:val="20"/>
          <w:lang w:val="en-IE"/>
        </w:rPr>
        <w:t xml:space="preserve"> Parasite detection in the ornamental fish trade using environmental DNA. </w:t>
      </w:r>
      <w:r w:rsidRPr="00D73FF0">
        <w:rPr>
          <w:rFonts w:ascii="Times New Roman" w:hAnsi="Times New Roman" w:cs="Times New Roman"/>
          <w:i/>
          <w:iCs/>
          <w:noProof/>
          <w:sz w:val="20"/>
          <w:szCs w:val="20"/>
          <w:lang w:val="en-IE"/>
        </w:rPr>
        <w:t>Scientific Reports, 9</w:t>
      </w:r>
      <w:r w:rsidRPr="00D73FF0">
        <w:rPr>
          <w:rFonts w:ascii="Times New Roman" w:hAnsi="Times New Roman" w:cs="Times New Roman"/>
          <w:noProof/>
          <w:sz w:val="20"/>
          <w:szCs w:val="20"/>
          <w:lang w:val="en-IE"/>
        </w:rPr>
        <w:t>, 1–9.</w:t>
      </w:r>
    </w:p>
    <w:p w14:paraId="736241B0"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Vilaça S.T., Grant S.A., Beaty L., Brunetti C.R., Congram M., Murray D.L., Wilson C.C. &amp; Kyle C.J.</w:t>
      </w:r>
      <w:r w:rsidRPr="00D73FF0">
        <w:rPr>
          <w:rFonts w:ascii="Times New Roman" w:hAnsi="Times New Roman" w:cs="Times New Roman"/>
          <w:noProof/>
          <w:sz w:val="20"/>
          <w:szCs w:val="20"/>
          <w:lang w:val="en-IE"/>
        </w:rPr>
        <w:t xml:space="preserve"> (2020). Detection of spatiotemporal variation in ranavirus distribution using eDNA.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210–220.</w:t>
      </w:r>
    </w:p>
    <w:p w14:paraId="1B7EE2D8"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Vrålstad T., Strand D., Rusch J., Toverud O., Johnsen S.I., Tarpai A., Rask-Moller P. &amp; Gjerve A.-G.</w:t>
      </w:r>
      <w:r w:rsidRPr="00D73FF0">
        <w:rPr>
          <w:rFonts w:ascii="Times New Roman" w:hAnsi="Times New Roman" w:cs="Times New Roman"/>
          <w:noProof/>
          <w:sz w:val="20"/>
          <w:szCs w:val="20"/>
          <w:lang w:val="en-IE"/>
        </w:rPr>
        <w:t xml:space="preserve"> (2016). The surveillance programme for </w:t>
      </w:r>
      <w:r w:rsidRPr="00D73FF0">
        <w:rPr>
          <w:rFonts w:ascii="Times New Roman" w:hAnsi="Times New Roman" w:cs="Times New Roman"/>
          <w:i/>
          <w:iCs/>
          <w:noProof/>
          <w:sz w:val="20"/>
          <w:szCs w:val="20"/>
          <w:lang w:val="en-IE"/>
        </w:rPr>
        <w:t>Aphanomyces astaci</w:t>
      </w:r>
      <w:r w:rsidRPr="00D73FF0">
        <w:rPr>
          <w:rFonts w:ascii="Times New Roman" w:hAnsi="Times New Roman" w:cs="Times New Roman"/>
          <w:noProof/>
          <w:sz w:val="20"/>
          <w:szCs w:val="20"/>
          <w:lang w:val="en-IE"/>
        </w:rPr>
        <w:t xml:space="preserve"> in Norway 2016. Norwegian Veterinary Institute.</w:t>
      </w:r>
    </w:p>
    <w:p w14:paraId="6DD12D24"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Walker S.F., Salas M.B., Jenkins D., Garner T.W.J., Cunningham A.A., Hyatt A.D., Bosch J. &amp; Fisher M.C.</w:t>
      </w:r>
      <w:r w:rsidRPr="00D73FF0">
        <w:rPr>
          <w:rFonts w:ascii="Times New Roman" w:hAnsi="Times New Roman" w:cs="Times New Roman"/>
          <w:noProof/>
          <w:sz w:val="20"/>
          <w:szCs w:val="20"/>
          <w:lang w:val="en-IE"/>
        </w:rPr>
        <w:t xml:space="preserve"> (2007). Environmental detection of </w:t>
      </w:r>
      <w:r w:rsidRPr="00D73FF0">
        <w:rPr>
          <w:rFonts w:ascii="Times New Roman" w:hAnsi="Times New Roman" w:cs="Times New Roman"/>
          <w:i/>
          <w:iCs/>
          <w:noProof/>
          <w:sz w:val="20"/>
          <w:szCs w:val="20"/>
          <w:lang w:val="en-IE"/>
        </w:rPr>
        <w:t>Batrachochytrium dendrobatidis</w:t>
      </w:r>
      <w:r w:rsidRPr="00D73FF0">
        <w:rPr>
          <w:rFonts w:ascii="Times New Roman" w:hAnsi="Times New Roman" w:cs="Times New Roman"/>
          <w:noProof/>
          <w:sz w:val="20"/>
          <w:szCs w:val="20"/>
          <w:lang w:val="en-IE"/>
        </w:rPr>
        <w:t xml:space="preserve"> in a temperate climate. </w:t>
      </w:r>
      <w:r w:rsidRPr="00D73FF0">
        <w:rPr>
          <w:rFonts w:ascii="Times New Roman" w:hAnsi="Times New Roman" w:cs="Times New Roman"/>
          <w:i/>
          <w:iCs/>
          <w:noProof/>
          <w:sz w:val="20"/>
          <w:szCs w:val="20"/>
          <w:lang w:val="en-IE"/>
        </w:rPr>
        <w:t>Diseases of Aquatic Organisms,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77</w:t>
      </w:r>
      <w:r w:rsidRPr="00D73FF0">
        <w:rPr>
          <w:rFonts w:ascii="Times New Roman" w:hAnsi="Times New Roman" w:cs="Times New Roman"/>
          <w:noProof/>
          <w:sz w:val="20"/>
          <w:szCs w:val="20"/>
          <w:lang w:val="en-IE"/>
        </w:rPr>
        <w:t>, 105–112.</w:t>
      </w:r>
    </w:p>
    <w:p w14:paraId="0CBDB285"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Weli S.C., Bernhardt L.-V., Qviller L., Myrmel M. &amp; Lillehaug A.</w:t>
      </w:r>
      <w:r w:rsidRPr="00D73FF0">
        <w:rPr>
          <w:rFonts w:ascii="Times New Roman" w:hAnsi="Times New Roman" w:cs="Times New Roman"/>
          <w:noProof/>
          <w:sz w:val="20"/>
          <w:szCs w:val="20"/>
          <w:lang w:val="en-IE"/>
        </w:rPr>
        <w:t xml:space="preserve"> (2021). Development and evaluation of a method for concentration and detection of salmonid alphavirus from seawater. </w:t>
      </w:r>
      <w:r w:rsidRPr="00D73FF0">
        <w:rPr>
          <w:rFonts w:ascii="Times New Roman" w:hAnsi="Times New Roman" w:cs="Times New Roman"/>
          <w:i/>
          <w:iCs/>
          <w:noProof/>
          <w:sz w:val="20"/>
          <w:szCs w:val="20"/>
          <w:lang w:val="en-IE"/>
        </w:rPr>
        <w:t>Journal of Virological Methods,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287</w:t>
      </w:r>
      <w:r w:rsidRPr="00D73FF0">
        <w:rPr>
          <w:rFonts w:ascii="Times New Roman" w:hAnsi="Times New Roman" w:cs="Times New Roman"/>
          <w:noProof/>
          <w:sz w:val="20"/>
          <w:szCs w:val="20"/>
          <w:lang w:val="en-IE"/>
        </w:rPr>
        <w:t>, 113990.</w:t>
      </w:r>
    </w:p>
    <w:p w14:paraId="64765648"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Wittwer C., Nowak C., Strand D.A., Vrålstad T., Thines M. &amp; Stoll S.</w:t>
      </w:r>
      <w:r w:rsidRPr="00D73FF0">
        <w:rPr>
          <w:rFonts w:ascii="Times New Roman" w:hAnsi="Times New Roman" w:cs="Times New Roman"/>
          <w:noProof/>
          <w:sz w:val="20"/>
          <w:szCs w:val="20"/>
          <w:lang w:val="en-IE"/>
        </w:rPr>
        <w:t xml:space="preserve"> (2018a). Comparison of two water sampling approaches for eDNA-based crayfish plague detection. </w:t>
      </w:r>
      <w:r w:rsidRPr="00D73FF0">
        <w:rPr>
          <w:rFonts w:ascii="Times New Roman" w:hAnsi="Times New Roman" w:cs="Times New Roman"/>
          <w:i/>
          <w:iCs/>
          <w:noProof/>
          <w:sz w:val="20"/>
          <w:szCs w:val="20"/>
          <w:lang w:val="en-IE"/>
        </w:rPr>
        <w:t>Limnologica,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70</w:t>
      </w:r>
      <w:r w:rsidRPr="00D73FF0">
        <w:rPr>
          <w:rFonts w:ascii="Times New Roman" w:hAnsi="Times New Roman" w:cs="Times New Roman"/>
          <w:noProof/>
          <w:sz w:val="20"/>
          <w:szCs w:val="20"/>
          <w:lang w:val="en-IE"/>
        </w:rPr>
        <w:t>, 1–9.</w:t>
      </w:r>
    </w:p>
    <w:p w14:paraId="2AD8EA50" w14:textId="77777777" w:rsidR="00BC7F24"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Wittwer C., Stoll S., Strand D., Vrålstad T., Nowak C. &amp; Thines M.</w:t>
      </w:r>
      <w:r w:rsidRPr="00D73FF0">
        <w:rPr>
          <w:rFonts w:ascii="Times New Roman" w:hAnsi="Times New Roman" w:cs="Times New Roman"/>
          <w:noProof/>
          <w:sz w:val="20"/>
          <w:szCs w:val="20"/>
          <w:lang w:val="en-IE"/>
        </w:rPr>
        <w:t xml:space="preserve"> (2018b). eDNA-based crayfish plague monitoring is superior to conventional trap-based assessments in year-round detection probability. </w:t>
      </w:r>
      <w:r w:rsidRPr="00D73FF0">
        <w:rPr>
          <w:rFonts w:ascii="Times New Roman" w:hAnsi="Times New Roman" w:cs="Times New Roman"/>
          <w:i/>
          <w:iCs/>
          <w:noProof/>
          <w:sz w:val="20"/>
          <w:szCs w:val="20"/>
          <w:lang w:val="en-IE"/>
        </w:rPr>
        <w:t>Hydrobiologia,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807</w:t>
      </w:r>
      <w:r w:rsidRPr="00D73FF0">
        <w:rPr>
          <w:rFonts w:ascii="Times New Roman" w:hAnsi="Times New Roman" w:cs="Times New Roman"/>
          <w:noProof/>
          <w:sz w:val="20"/>
          <w:szCs w:val="20"/>
          <w:lang w:val="en-IE"/>
        </w:rPr>
        <w:t>, 87–97.</w:t>
      </w:r>
    </w:p>
    <w:p w14:paraId="5EA1D6F4" w14:textId="77777777" w:rsidR="00BC7F24" w:rsidRPr="00873DAE" w:rsidRDefault="00BC7F24" w:rsidP="00BC7F24">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1C02AF5" w14:textId="77777777" w:rsidR="00BC7F24"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443CA416" w14:textId="77777777" w:rsidR="00BC7F24"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656FCAD7" w14:textId="77777777" w:rsidR="00BC7F24" w:rsidRPr="00D73FF0" w:rsidRDefault="00BC7F24" w:rsidP="00BC7F24">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58A78AD3" w14:textId="77777777" w:rsidR="00F80824" w:rsidRDefault="00F80824"/>
    <w:sectPr w:rsidR="00F80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D31D0"/>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 w15:restartNumberingAfterBreak="0">
    <w:nsid w:val="21573ED1"/>
    <w:multiLevelType w:val="hybridMultilevel"/>
    <w:tmpl w:val="4DDC4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954F7A"/>
    <w:multiLevelType w:val="multilevel"/>
    <w:tmpl w:val="A9049FDA"/>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3.%2.%3."/>
      <w:lvlJc w:val="left"/>
      <w:pPr>
        <w:ind w:left="1213"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1C5F2D"/>
    <w:multiLevelType w:val="hybridMultilevel"/>
    <w:tmpl w:val="0756D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DE449E"/>
    <w:multiLevelType w:val="hybridMultilevel"/>
    <w:tmpl w:val="3B48C7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24"/>
    <w:rsid w:val="00000266"/>
    <w:rsid w:val="00000272"/>
    <w:rsid w:val="00001BF6"/>
    <w:rsid w:val="000038C6"/>
    <w:rsid w:val="00003A40"/>
    <w:rsid w:val="00010384"/>
    <w:rsid w:val="00010DC0"/>
    <w:rsid w:val="00013B50"/>
    <w:rsid w:val="00014D0F"/>
    <w:rsid w:val="00015077"/>
    <w:rsid w:val="000151EC"/>
    <w:rsid w:val="00015D46"/>
    <w:rsid w:val="00016349"/>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387F"/>
    <w:rsid w:val="000446D1"/>
    <w:rsid w:val="000449D5"/>
    <w:rsid w:val="000477B5"/>
    <w:rsid w:val="0005171D"/>
    <w:rsid w:val="000532CE"/>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6732"/>
    <w:rsid w:val="00097908"/>
    <w:rsid w:val="000A1507"/>
    <w:rsid w:val="000A226D"/>
    <w:rsid w:val="000A267C"/>
    <w:rsid w:val="000A2EC0"/>
    <w:rsid w:val="000A33AD"/>
    <w:rsid w:val="000A4AEF"/>
    <w:rsid w:val="000A51BB"/>
    <w:rsid w:val="000A6C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DA6"/>
    <w:rsid w:val="003A388B"/>
    <w:rsid w:val="003A6808"/>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725"/>
    <w:rsid w:val="004923F0"/>
    <w:rsid w:val="0049373E"/>
    <w:rsid w:val="00496666"/>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4660"/>
    <w:rsid w:val="00565CDB"/>
    <w:rsid w:val="005667A7"/>
    <w:rsid w:val="005677C5"/>
    <w:rsid w:val="00567EF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CE7"/>
    <w:rsid w:val="005A1E68"/>
    <w:rsid w:val="005A356B"/>
    <w:rsid w:val="005A3600"/>
    <w:rsid w:val="005A3D03"/>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70DC"/>
    <w:rsid w:val="005F7385"/>
    <w:rsid w:val="005F74B5"/>
    <w:rsid w:val="005F779D"/>
    <w:rsid w:val="00601983"/>
    <w:rsid w:val="00603CB0"/>
    <w:rsid w:val="00604917"/>
    <w:rsid w:val="00604A05"/>
    <w:rsid w:val="00604A5D"/>
    <w:rsid w:val="00604B61"/>
    <w:rsid w:val="00605ADF"/>
    <w:rsid w:val="00606002"/>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7CA3"/>
    <w:rsid w:val="006B0960"/>
    <w:rsid w:val="006B1354"/>
    <w:rsid w:val="006B13BF"/>
    <w:rsid w:val="006B1585"/>
    <w:rsid w:val="006B1E6C"/>
    <w:rsid w:val="006B30C0"/>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700518"/>
    <w:rsid w:val="00700DBC"/>
    <w:rsid w:val="00701262"/>
    <w:rsid w:val="00702CA4"/>
    <w:rsid w:val="00703872"/>
    <w:rsid w:val="00704813"/>
    <w:rsid w:val="00705067"/>
    <w:rsid w:val="00705B08"/>
    <w:rsid w:val="007070B7"/>
    <w:rsid w:val="00707574"/>
    <w:rsid w:val="0071186F"/>
    <w:rsid w:val="00711EEA"/>
    <w:rsid w:val="00712E4C"/>
    <w:rsid w:val="00712FF9"/>
    <w:rsid w:val="0071373E"/>
    <w:rsid w:val="00716D69"/>
    <w:rsid w:val="00717248"/>
    <w:rsid w:val="00722C3C"/>
    <w:rsid w:val="0072490D"/>
    <w:rsid w:val="00724AB1"/>
    <w:rsid w:val="007266EE"/>
    <w:rsid w:val="007317B2"/>
    <w:rsid w:val="00731877"/>
    <w:rsid w:val="00734741"/>
    <w:rsid w:val="00734ACF"/>
    <w:rsid w:val="0073560F"/>
    <w:rsid w:val="007367EF"/>
    <w:rsid w:val="00737607"/>
    <w:rsid w:val="00743EAE"/>
    <w:rsid w:val="007445B4"/>
    <w:rsid w:val="00745A1C"/>
    <w:rsid w:val="00745F7B"/>
    <w:rsid w:val="0074726A"/>
    <w:rsid w:val="007477C4"/>
    <w:rsid w:val="0075043D"/>
    <w:rsid w:val="00750C25"/>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61C3"/>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5A18"/>
    <w:rsid w:val="00A8610D"/>
    <w:rsid w:val="00A8670D"/>
    <w:rsid w:val="00A87137"/>
    <w:rsid w:val="00A87DEB"/>
    <w:rsid w:val="00A91F38"/>
    <w:rsid w:val="00A94515"/>
    <w:rsid w:val="00A94653"/>
    <w:rsid w:val="00A95F5A"/>
    <w:rsid w:val="00AA0207"/>
    <w:rsid w:val="00AA0A76"/>
    <w:rsid w:val="00AA0CD7"/>
    <w:rsid w:val="00AA28FC"/>
    <w:rsid w:val="00AA4582"/>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E4B"/>
    <w:rsid w:val="00B455B4"/>
    <w:rsid w:val="00B45CD6"/>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33C0"/>
    <w:rsid w:val="00BB4EB3"/>
    <w:rsid w:val="00BB4FA4"/>
    <w:rsid w:val="00BB525F"/>
    <w:rsid w:val="00BB797C"/>
    <w:rsid w:val="00BB7EE9"/>
    <w:rsid w:val="00BC0F4A"/>
    <w:rsid w:val="00BC23C1"/>
    <w:rsid w:val="00BC2576"/>
    <w:rsid w:val="00BC272B"/>
    <w:rsid w:val="00BC5DF8"/>
    <w:rsid w:val="00BC5E08"/>
    <w:rsid w:val="00BC7943"/>
    <w:rsid w:val="00BC7F24"/>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3D6F"/>
    <w:rsid w:val="00C1419A"/>
    <w:rsid w:val="00C165FC"/>
    <w:rsid w:val="00C16AA2"/>
    <w:rsid w:val="00C16E65"/>
    <w:rsid w:val="00C2024D"/>
    <w:rsid w:val="00C209A0"/>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721"/>
    <w:rsid w:val="00F6009B"/>
    <w:rsid w:val="00F602BB"/>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E02A1"/>
    <w:rsid w:val="00FE19DB"/>
    <w:rsid w:val="00FE21F7"/>
    <w:rsid w:val="00FE3513"/>
    <w:rsid w:val="00FE3740"/>
    <w:rsid w:val="00FE3A98"/>
    <w:rsid w:val="00FE67C6"/>
    <w:rsid w:val="00FF0657"/>
    <w:rsid w:val="00FF0A31"/>
    <w:rsid w:val="00FF1B6F"/>
    <w:rsid w:val="00FF318E"/>
    <w:rsid w:val="00FF45EC"/>
    <w:rsid w:val="00FF4E59"/>
    <w:rsid w:val="00FF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AABA7"/>
  <w15:chartTrackingRefBased/>
  <w15:docId w15:val="{6C125271-74AD-415D-A579-3500CC55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2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F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11726</Words>
  <Characters>66842</Characters>
  <Application>Microsoft Office Word</Application>
  <DocSecurity>0</DocSecurity>
  <Lines>557</Lines>
  <Paragraphs>156</Paragraphs>
  <ScaleCrop>false</ScaleCrop>
  <Company/>
  <LinksUpToDate>false</LinksUpToDate>
  <CharactersWithSpaces>78412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Egrie, Paul G - APHIS</dc:creator>
  <cp:keywords/>
  <dc:description/>
  <cp:lastModifiedBy>Egrie, Paul G - APHIS</cp:lastModifiedBy>
  <cp:revision>1</cp:revision>
  <dcterms:created xsi:type="dcterms:W3CDTF">2021-06-02T19:39:00Z</dcterms:created>
  <dcterms:modified xsi:type="dcterms:W3CDTF">2021-06-02T19:40:00Z</dcterms:modified>
</cp:coreProperties>
</file>